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default" w:ascii="Times New Roman" w:hAnsi="Times New Roman" w:eastAsia="黑体" w:cs="Times New Roman"/>
          <w:sz w:val="28"/>
          <w:szCs w:val="28"/>
        </w:rPr>
      </w:pPr>
      <w:r>
        <w:rPr>
          <w:rFonts w:hint="default" w:ascii="Times New Roman" w:hAnsi="Times New Roman" w:eastAsia="黑体" w:cs="Times New Roman"/>
          <w:sz w:val="28"/>
          <w:szCs w:val="28"/>
        </w:rPr>
        <w:t>附件5</w:t>
      </w:r>
    </w:p>
    <w:p>
      <w:pPr>
        <w:overflowPunct w:val="0"/>
        <w:spacing w:line="580" w:lineRule="exact"/>
        <w:jc w:val="center"/>
        <w:rPr>
          <w:rFonts w:hint="default" w:ascii="Times New Roman" w:hAnsi="Times New Roman" w:eastAsia="方正小标宋简体" w:cs="Times New Roman"/>
          <w:sz w:val="40"/>
          <w:szCs w:val="40"/>
        </w:rPr>
      </w:pPr>
      <w:r>
        <w:rPr>
          <w:rFonts w:hint="default" w:ascii="Times New Roman" w:hAnsi="Times New Roman" w:eastAsia="方正小标宋简体" w:cs="Times New Roman"/>
          <w:sz w:val="40"/>
          <w:szCs w:val="40"/>
        </w:rPr>
        <w:t>湖南省新型工业化产业示范基地发展定量指标汇总表</w:t>
      </w:r>
    </w:p>
    <w:p>
      <w:pPr>
        <w:overflowPunct w:val="0"/>
        <w:spacing w:line="580" w:lineRule="exact"/>
        <w:jc w:val="center"/>
        <w:rPr>
          <w:rFonts w:hint="default" w:ascii="Times New Roman" w:hAnsi="Times New Roman" w:eastAsia="方正小标宋简体" w:cs="Times New Roman"/>
          <w:sz w:val="44"/>
          <w:szCs w:val="44"/>
        </w:rPr>
      </w:pPr>
    </w:p>
    <w:tbl>
      <w:tblPr>
        <w:tblStyle w:val="2"/>
        <w:tblW w:w="15024"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713"/>
        <w:gridCol w:w="2975"/>
        <w:gridCol w:w="5481"/>
        <w:gridCol w:w="2382"/>
        <w:gridCol w:w="2473"/>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4" w:hRule="atLeast"/>
          <w:tblHeader/>
          <w:jc w:val="center"/>
        </w:trPr>
        <w:tc>
          <w:tcPr>
            <w:tcW w:w="1550"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261" w:right="249"/>
              <w:jc w:val="center"/>
              <w:textAlignment w:val="auto"/>
              <w:rPr>
                <w:rFonts w:hint="default" w:ascii="Times New Roman" w:hAnsi="Times New Roman" w:eastAsia="黑体" w:cs="Times New Roman"/>
                <w:b w:val="0"/>
                <w:bCs w:val="0"/>
              </w:rPr>
            </w:pPr>
            <w:r>
              <w:rPr>
                <w:rFonts w:hint="default" w:ascii="Times New Roman" w:hAnsi="Times New Roman" w:eastAsia="黑体" w:cs="Times New Roman"/>
                <w:b w:val="0"/>
                <w:bCs w:val="0"/>
              </w:rPr>
              <w:t>一级指标</w:t>
            </w:r>
          </w:p>
        </w:tc>
        <w:tc>
          <w:tcPr>
            <w:tcW w:w="2693"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jc w:val="center"/>
              <w:textAlignment w:val="auto"/>
              <w:rPr>
                <w:rFonts w:hint="default" w:ascii="Times New Roman" w:hAnsi="Times New Roman" w:eastAsia="黑体" w:cs="Times New Roman"/>
                <w:b w:val="0"/>
                <w:bCs w:val="0"/>
              </w:rPr>
            </w:pPr>
            <w:r>
              <w:rPr>
                <w:rFonts w:hint="default" w:ascii="Times New Roman" w:hAnsi="Times New Roman" w:eastAsia="黑体" w:cs="Times New Roman"/>
                <w:b w:val="0"/>
                <w:bCs w:val="0"/>
              </w:rPr>
              <w:t>二级指标</w:t>
            </w:r>
          </w:p>
        </w:tc>
        <w:tc>
          <w:tcPr>
            <w:tcW w:w="4961"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261" w:right="249"/>
              <w:jc w:val="center"/>
              <w:textAlignment w:val="auto"/>
              <w:rPr>
                <w:rFonts w:hint="default" w:ascii="Times New Roman" w:hAnsi="Times New Roman" w:eastAsia="黑体" w:cs="Times New Roman"/>
                <w:b w:val="0"/>
                <w:bCs w:val="0"/>
              </w:rPr>
            </w:pPr>
            <w:r>
              <w:rPr>
                <w:rFonts w:hint="default" w:ascii="Times New Roman" w:hAnsi="Times New Roman" w:eastAsia="黑体" w:cs="Times New Roman"/>
                <w:b w:val="0"/>
                <w:bCs w:val="0"/>
              </w:rPr>
              <w:t>二级指标说明</w:t>
            </w:r>
          </w:p>
        </w:tc>
        <w:tc>
          <w:tcPr>
            <w:tcW w:w="2156"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261" w:right="249"/>
              <w:jc w:val="center"/>
              <w:textAlignment w:val="auto"/>
              <w:rPr>
                <w:rFonts w:hint="default" w:ascii="Times New Roman" w:hAnsi="Times New Roman" w:eastAsia="黑体" w:cs="Times New Roman"/>
                <w:b w:val="0"/>
                <w:bCs w:val="0"/>
              </w:rPr>
            </w:pPr>
            <w:r>
              <w:rPr>
                <w:rFonts w:hint="default" w:ascii="Times New Roman" w:hAnsi="Times New Roman" w:eastAsia="黑体" w:cs="Times New Roman"/>
                <w:b w:val="0"/>
                <w:bCs w:val="0"/>
              </w:rPr>
              <w:t>2022年数值</w:t>
            </w:r>
          </w:p>
        </w:tc>
        <w:tc>
          <w:tcPr>
            <w:tcW w:w="2238"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261" w:right="249"/>
              <w:jc w:val="center"/>
              <w:textAlignment w:val="auto"/>
              <w:rPr>
                <w:rFonts w:hint="default" w:ascii="Times New Roman" w:hAnsi="Times New Roman" w:eastAsia="黑体" w:cs="Times New Roman"/>
                <w:b w:val="0"/>
                <w:bCs w:val="0"/>
              </w:rPr>
            </w:pPr>
            <w:r>
              <w:rPr>
                <w:rFonts w:hint="default" w:ascii="Times New Roman" w:hAnsi="Times New Roman" w:eastAsia="黑体" w:cs="Times New Roman"/>
                <w:b w:val="0"/>
                <w:bCs w:val="0"/>
              </w:rPr>
              <w:t>2023年数值</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260" w:hRule="atLeast"/>
          <w:jc w:val="center"/>
        </w:trPr>
        <w:tc>
          <w:tcPr>
            <w:tcW w:w="1550" w:type="dxa"/>
            <w:vMerge w:val="restart"/>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对外开放</w:t>
            </w:r>
          </w:p>
        </w:tc>
        <w:tc>
          <w:tcPr>
            <w:tcW w:w="2693"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0" w:right="92"/>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1.实际使用外资金额（万美元）</w:t>
            </w:r>
          </w:p>
        </w:tc>
        <w:tc>
          <w:tcPr>
            <w:tcW w:w="4961"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0" w:right="92"/>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示范基地合同利用外资金额的实际执行数，外国投资者根据外商投资企业的合同（章程）的规定实际缴付的出资额和企业投资总额内外国投资者以自己的境外自有资金实际直接向企业提供的期限一年以上的中长期贷款。</w:t>
            </w:r>
          </w:p>
        </w:tc>
        <w:tc>
          <w:tcPr>
            <w:tcW w:w="2156"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0" w:right="92"/>
              <w:jc w:val="both"/>
              <w:textAlignment w:val="auto"/>
              <w:rPr>
                <w:rFonts w:hint="default" w:ascii="Times New Roman" w:hAnsi="Times New Roman" w:eastAsia="仿宋_GB2312" w:cs="Times New Roman"/>
              </w:rPr>
            </w:pPr>
          </w:p>
        </w:tc>
        <w:tc>
          <w:tcPr>
            <w:tcW w:w="2238"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0" w:right="92"/>
              <w:jc w:val="both"/>
              <w:textAlignment w:val="auto"/>
              <w:rPr>
                <w:rFonts w:hint="default" w:ascii="Times New Roman" w:hAnsi="Times New Roman" w:eastAsia="仿宋_GB2312" w:cs="Times New Roma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950" w:hRule="atLeast"/>
          <w:jc w:val="center"/>
        </w:trPr>
        <w:tc>
          <w:tcPr>
            <w:tcW w:w="1550" w:type="dxa"/>
            <w:vMerge w:val="continue"/>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jc w:val="center"/>
              <w:textAlignment w:val="auto"/>
              <w:rPr>
                <w:rFonts w:hint="default" w:ascii="Times New Roman" w:hAnsi="Times New Roman" w:eastAsia="仿宋_GB2312" w:cs="Times New Roman"/>
              </w:rPr>
            </w:pPr>
          </w:p>
        </w:tc>
        <w:tc>
          <w:tcPr>
            <w:tcW w:w="2693"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0" w:right="92"/>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2.实际使用外资金额增速（％）</w:t>
            </w:r>
          </w:p>
        </w:tc>
        <w:tc>
          <w:tcPr>
            <w:tcW w:w="4961"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0" w:right="92"/>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示范基地工业企业实际使用外资增长率。</w:t>
            </w:r>
          </w:p>
        </w:tc>
        <w:tc>
          <w:tcPr>
            <w:tcW w:w="2156"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0" w:right="92"/>
              <w:jc w:val="both"/>
              <w:textAlignment w:val="auto"/>
              <w:rPr>
                <w:rFonts w:hint="default" w:ascii="Times New Roman" w:hAnsi="Times New Roman" w:eastAsia="仿宋_GB2312" w:cs="Times New Roman"/>
              </w:rPr>
            </w:pPr>
          </w:p>
        </w:tc>
        <w:tc>
          <w:tcPr>
            <w:tcW w:w="2238"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0" w:right="92"/>
              <w:jc w:val="both"/>
              <w:textAlignment w:val="auto"/>
              <w:rPr>
                <w:rFonts w:hint="default" w:ascii="Times New Roman" w:hAnsi="Times New Roman" w:eastAsia="仿宋_GB2312" w:cs="Times New Roma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atLeast"/>
          <w:jc w:val="center"/>
        </w:trPr>
        <w:tc>
          <w:tcPr>
            <w:tcW w:w="1550" w:type="dxa"/>
            <w:vMerge w:val="continue"/>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jc w:val="center"/>
              <w:textAlignment w:val="auto"/>
              <w:rPr>
                <w:rFonts w:hint="default" w:ascii="Times New Roman" w:hAnsi="Times New Roman" w:eastAsia="仿宋_GB2312" w:cs="Times New Roman"/>
              </w:rPr>
            </w:pPr>
          </w:p>
        </w:tc>
        <w:tc>
          <w:tcPr>
            <w:tcW w:w="2693"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0" w:right="92"/>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3.进出口总额（亿元）</w:t>
            </w:r>
          </w:p>
        </w:tc>
        <w:tc>
          <w:tcPr>
            <w:tcW w:w="4961"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示范基地企业实际输出和实际输入我国国境的货物总金额。</w:t>
            </w:r>
          </w:p>
        </w:tc>
        <w:tc>
          <w:tcPr>
            <w:tcW w:w="2156"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p>
        </w:tc>
        <w:tc>
          <w:tcPr>
            <w:tcW w:w="2238"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92" w:hRule="atLeast"/>
          <w:jc w:val="center"/>
        </w:trPr>
        <w:tc>
          <w:tcPr>
            <w:tcW w:w="1550" w:type="dxa"/>
            <w:vMerge w:val="continue"/>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jc w:val="center"/>
              <w:textAlignment w:val="auto"/>
              <w:rPr>
                <w:rFonts w:hint="default" w:ascii="Times New Roman" w:hAnsi="Times New Roman" w:eastAsia="仿宋_GB2312" w:cs="Times New Roman"/>
              </w:rPr>
            </w:pPr>
          </w:p>
        </w:tc>
        <w:tc>
          <w:tcPr>
            <w:tcW w:w="2693"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0" w:right="92"/>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4.进出口总额增速（％）</w:t>
            </w:r>
          </w:p>
        </w:tc>
        <w:tc>
          <w:tcPr>
            <w:tcW w:w="4961"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示范基地企业进出口总额增长率。</w:t>
            </w:r>
          </w:p>
        </w:tc>
        <w:tc>
          <w:tcPr>
            <w:tcW w:w="2156"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p>
        </w:tc>
        <w:tc>
          <w:tcPr>
            <w:tcW w:w="2238"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260" w:hRule="atLeast"/>
          <w:jc w:val="center"/>
        </w:trPr>
        <w:tc>
          <w:tcPr>
            <w:tcW w:w="1550" w:type="dxa"/>
            <w:vMerge w:val="continue"/>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352" w:right="338"/>
              <w:jc w:val="center"/>
              <w:textAlignment w:val="auto"/>
              <w:rPr>
                <w:rFonts w:hint="default" w:ascii="Times New Roman" w:hAnsi="Times New Roman" w:eastAsia="仿宋_GB2312" w:cs="Times New Roman"/>
              </w:rPr>
            </w:pPr>
          </w:p>
        </w:tc>
        <w:tc>
          <w:tcPr>
            <w:tcW w:w="2693"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0" w:right="92"/>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5.进出口额占所在地级市进出口额比重（％）</w:t>
            </w:r>
          </w:p>
        </w:tc>
        <w:tc>
          <w:tcPr>
            <w:tcW w:w="4961"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示范基地进出口额与所在地级市进出口额的比重。</w:t>
            </w:r>
          </w:p>
        </w:tc>
        <w:tc>
          <w:tcPr>
            <w:tcW w:w="2156"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p>
        </w:tc>
        <w:tc>
          <w:tcPr>
            <w:tcW w:w="2238"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260" w:hRule="atLeast"/>
          <w:jc w:val="center"/>
        </w:trPr>
        <w:tc>
          <w:tcPr>
            <w:tcW w:w="1550" w:type="dxa"/>
            <w:vMerge w:val="restart"/>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产业实力</w:t>
            </w:r>
          </w:p>
        </w:tc>
        <w:tc>
          <w:tcPr>
            <w:tcW w:w="2693"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0" w:right="92"/>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1.规模以上工业总产值（亿元）</w:t>
            </w:r>
          </w:p>
        </w:tc>
        <w:tc>
          <w:tcPr>
            <w:tcW w:w="4961"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示范基地规模以上工业企业在评价年度生产的以货币形式表现的工业最终产品和提供工业劳务活动的总价值量。</w:t>
            </w:r>
          </w:p>
        </w:tc>
        <w:tc>
          <w:tcPr>
            <w:tcW w:w="2156"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p>
        </w:tc>
        <w:tc>
          <w:tcPr>
            <w:tcW w:w="2238"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137" w:hRule="atLeast"/>
          <w:jc w:val="center"/>
        </w:trPr>
        <w:tc>
          <w:tcPr>
            <w:tcW w:w="1550" w:type="dxa"/>
            <w:vMerge w:val="continue"/>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352" w:right="338"/>
              <w:jc w:val="center"/>
              <w:textAlignment w:val="auto"/>
              <w:rPr>
                <w:rFonts w:hint="default" w:ascii="Times New Roman" w:hAnsi="Times New Roman" w:eastAsia="仿宋_GB2312" w:cs="Times New Roman"/>
              </w:rPr>
            </w:pPr>
          </w:p>
        </w:tc>
        <w:tc>
          <w:tcPr>
            <w:tcW w:w="2693"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0" w:right="92"/>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2.主导产业营业收入占比（％）</w:t>
            </w:r>
          </w:p>
        </w:tc>
        <w:tc>
          <w:tcPr>
            <w:tcW w:w="4961"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示范基地主导产业规模以上工业企业营业收入与示范基地规模以上工业企业营业收入之比。</w:t>
            </w:r>
          </w:p>
        </w:tc>
        <w:tc>
          <w:tcPr>
            <w:tcW w:w="2156"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p>
        </w:tc>
        <w:tc>
          <w:tcPr>
            <w:tcW w:w="2238"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260" w:hRule="atLeast"/>
          <w:jc w:val="center"/>
        </w:trPr>
        <w:tc>
          <w:tcPr>
            <w:tcW w:w="1550" w:type="dxa"/>
            <w:vMerge w:val="continue"/>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352" w:right="338"/>
              <w:jc w:val="center"/>
              <w:textAlignment w:val="auto"/>
              <w:rPr>
                <w:rFonts w:hint="default" w:ascii="Times New Roman" w:hAnsi="Times New Roman" w:eastAsia="仿宋_GB2312" w:cs="Times New Roman"/>
              </w:rPr>
            </w:pPr>
          </w:p>
        </w:tc>
        <w:tc>
          <w:tcPr>
            <w:tcW w:w="2693"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0" w:right="92"/>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3.年度亩均固定资产投资强度（万元/亩）</w:t>
            </w:r>
          </w:p>
        </w:tc>
        <w:tc>
          <w:tcPr>
            <w:tcW w:w="4961"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示范基地在评价年度单位工业用地面积的固定资产投资强度。</w:t>
            </w:r>
          </w:p>
        </w:tc>
        <w:tc>
          <w:tcPr>
            <w:tcW w:w="2156"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p>
        </w:tc>
        <w:tc>
          <w:tcPr>
            <w:tcW w:w="2238"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260" w:hRule="atLeast"/>
          <w:jc w:val="center"/>
        </w:trPr>
        <w:tc>
          <w:tcPr>
            <w:tcW w:w="1550" w:type="dxa"/>
            <w:vMerge w:val="continue"/>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352" w:right="338"/>
              <w:jc w:val="center"/>
              <w:textAlignment w:val="auto"/>
              <w:rPr>
                <w:rFonts w:hint="default" w:ascii="Times New Roman" w:hAnsi="Times New Roman" w:eastAsia="仿宋_GB2312" w:cs="Times New Roman"/>
              </w:rPr>
            </w:pPr>
          </w:p>
        </w:tc>
        <w:tc>
          <w:tcPr>
            <w:tcW w:w="2693"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0" w:right="92"/>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4.亩均税收（万元/亩）</w:t>
            </w:r>
          </w:p>
        </w:tc>
        <w:tc>
          <w:tcPr>
            <w:tcW w:w="4961"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示范基地工业税收总额与示范基地工业用地面积之比。</w:t>
            </w:r>
          </w:p>
        </w:tc>
        <w:tc>
          <w:tcPr>
            <w:tcW w:w="2156"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p>
        </w:tc>
        <w:tc>
          <w:tcPr>
            <w:tcW w:w="2238"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019" w:hRule="atLeast"/>
          <w:jc w:val="center"/>
        </w:trPr>
        <w:tc>
          <w:tcPr>
            <w:tcW w:w="1550" w:type="dxa"/>
            <w:vMerge w:val="continue"/>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352" w:right="338"/>
              <w:jc w:val="center"/>
              <w:textAlignment w:val="auto"/>
              <w:rPr>
                <w:rFonts w:hint="default" w:ascii="Times New Roman" w:hAnsi="Times New Roman" w:eastAsia="仿宋_GB2312" w:cs="Times New Roman"/>
              </w:rPr>
            </w:pPr>
          </w:p>
        </w:tc>
        <w:tc>
          <w:tcPr>
            <w:tcW w:w="2693"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0" w:right="92"/>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5.上交税金总额（亿元）</w:t>
            </w:r>
          </w:p>
        </w:tc>
        <w:tc>
          <w:tcPr>
            <w:tcW w:w="4961"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示范基地在评价年度的上交税金总额。</w:t>
            </w:r>
          </w:p>
        </w:tc>
        <w:tc>
          <w:tcPr>
            <w:tcW w:w="2156"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p>
        </w:tc>
        <w:tc>
          <w:tcPr>
            <w:tcW w:w="2238"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260" w:hRule="atLeast"/>
          <w:jc w:val="center"/>
        </w:trPr>
        <w:tc>
          <w:tcPr>
            <w:tcW w:w="1550" w:type="dxa"/>
            <w:vMerge w:val="continue"/>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352" w:right="338"/>
              <w:jc w:val="center"/>
              <w:textAlignment w:val="auto"/>
              <w:rPr>
                <w:rFonts w:hint="default" w:ascii="Times New Roman" w:hAnsi="Times New Roman" w:eastAsia="仿宋_GB2312" w:cs="Times New Roman"/>
              </w:rPr>
            </w:pPr>
          </w:p>
        </w:tc>
        <w:tc>
          <w:tcPr>
            <w:tcW w:w="2693"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0" w:right="92"/>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6.工业税收总额增长率（％）</w:t>
            </w:r>
          </w:p>
        </w:tc>
        <w:tc>
          <w:tcPr>
            <w:tcW w:w="4961"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示范基地评价年度工业税收总额增长率，即示范基地评价年度工业税收总额和其上年度工业税收总额的差与示范基地上年度的工业税收总额的比值。</w:t>
            </w:r>
          </w:p>
        </w:tc>
        <w:tc>
          <w:tcPr>
            <w:tcW w:w="2156"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p>
        </w:tc>
        <w:tc>
          <w:tcPr>
            <w:tcW w:w="2238"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928" w:hRule="atLeast"/>
          <w:jc w:val="center"/>
        </w:trPr>
        <w:tc>
          <w:tcPr>
            <w:tcW w:w="1550" w:type="dxa"/>
            <w:vMerge w:val="continue"/>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352" w:right="338"/>
              <w:jc w:val="center"/>
              <w:textAlignment w:val="auto"/>
              <w:rPr>
                <w:rFonts w:hint="default" w:ascii="Times New Roman" w:hAnsi="Times New Roman" w:eastAsia="仿宋_GB2312" w:cs="Times New Roman"/>
              </w:rPr>
            </w:pPr>
          </w:p>
        </w:tc>
        <w:tc>
          <w:tcPr>
            <w:tcW w:w="2693"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0" w:right="92"/>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7.规模以上工业企业数量（家）</w:t>
            </w:r>
          </w:p>
        </w:tc>
        <w:tc>
          <w:tcPr>
            <w:tcW w:w="4961"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示范基地规模以上工业企业数量。</w:t>
            </w:r>
          </w:p>
        </w:tc>
        <w:tc>
          <w:tcPr>
            <w:tcW w:w="2156"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p>
        </w:tc>
        <w:tc>
          <w:tcPr>
            <w:tcW w:w="2238"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925" w:hRule="atLeast"/>
          <w:jc w:val="center"/>
        </w:trPr>
        <w:tc>
          <w:tcPr>
            <w:tcW w:w="1550" w:type="dxa"/>
            <w:vMerge w:val="continue"/>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352" w:right="338"/>
              <w:jc w:val="center"/>
              <w:textAlignment w:val="auto"/>
              <w:rPr>
                <w:rFonts w:hint="default" w:ascii="Times New Roman" w:hAnsi="Times New Roman" w:eastAsia="仿宋_GB2312" w:cs="Times New Roman"/>
              </w:rPr>
            </w:pPr>
          </w:p>
        </w:tc>
        <w:tc>
          <w:tcPr>
            <w:tcW w:w="2693"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0" w:right="92"/>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8.营业收入4亿元及以上的制造企业数量（家）</w:t>
            </w:r>
          </w:p>
        </w:tc>
        <w:tc>
          <w:tcPr>
            <w:tcW w:w="4961"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根据企业年度审计报告，示范基地主营业务收入达到4亿元及以上的制造业企业的数量。</w:t>
            </w:r>
          </w:p>
        </w:tc>
        <w:tc>
          <w:tcPr>
            <w:tcW w:w="2156"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p>
        </w:tc>
        <w:tc>
          <w:tcPr>
            <w:tcW w:w="2238"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86" w:hRule="atLeast"/>
          <w:jc w:val="center"/>
        </w:trPr>
        <w:tc>
          <w:tcPr>
            <w:tcW w:w="1550" w:type="dxa"/>
            <w:vMerge w:val="continue"/>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352" w:right="338"/>
              <w:jc w:val="center"/>
              <w:textAlignment w:val="auto"/>
              <w:rPr>
                <w:rFonts w:hint="default" w:ascii="Times New Roman" w:hAnsi="Times New Roman" w:eastAsia="仿宋_GB2312" w:cs="Times New Roman"/>
              </w:rPr>
            </w:pPr>
          </w:p>
        </w:tc>
        <w:tc>
          <w:tcPr>
            <w:tcW w:w="2693"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0" w:right="92"/>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9.上市企业数量（家）</w:t>
            </w:r>
          </w:p>
        </w:tc>
        <w:tc>
          <w:tcPr>
            <w:tcW w:w="4961"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示范基地历年已在主板、中小板、创业板市场上市的企业数量。</w:t>
            </w:r>
          </w:p>
        </w:tc>
        <w:tc>
          <w:tcPr>
            <w:tcW w:w="2156"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u w:val="single"/>
              </w:rPr>
            </w:pPr>
            <w:r>
              <w:rPr>
                <w:rFonts w:hint="default" w:ascii="Times New Roman" w:hAnsi="Times New Roman" w:eastAsia="仿宋_GB2312" w:cs="Times New Roman"/>
              </w:rPr>
              <w:t>主板：</w:t>
            </w:r>
            <w:r>
              <w:rPr>
                <w:rFonts w:hint="default" w:ascii="Times New Roman" w:hAnsi="Times New Roman" w:eastAsia="仿宋_GB2312" w:cs="Times New Roman"/>
                <w:u w:val="single"/>
              </w:rPr>
              <w:t xml:space="preserve">       </w:t>
            </w:r>
            <w:r>
              <w:rPr>
                <w:rFonts w:hint="default" w:ascii="Times New Roman" w:hAnsi="Times New Roman" w:eastAsia="仿宋_GB2312" w:cs="Times New Roman"/>
              </w:rPr>
              <w:t>家</w:t>
            </w:r>
          </w:p>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中小板：</w:t>
            </w:r>
            <w:r>
              <w:rPr>
                <w:rFonts w:hint="default" w:ascii="Times New Roman" w:hAnsi="Times New Roman" w:eastAsia="仿宋_GB2312" w:cs="Times New Roman"/>
                <w:u w:val="single"/>
              </w:rPr>
              <w:t xml:space="preserve">      </w:t>
            </w:r>
            <w:r>
              <w:rPr>
                <w:rFonts w:hint="default" w:ascii="Times New Roman" w:hAnsi="Times New Roman" w:eastAsia="仿宋_GB2312" w:cs="Times New Roman"/>
              </w:rPr>
              <w:t>家</w:t>
            </w:r>
          </w:p>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创业板：</w:t>
            </w:r>
            <w:r>
              <w:rPr>
                <w:rFonts w:hint="default" w:ascii="Times New Roman" w:hAnsi="Times New Roman" w:eastAsia="仿宋_GB2312" w:cs="Times New Roman"/>
                <w:u w:val="single"/>
              </w:rPr>
              <w:t xml:space="preserve">      </w:t>
            </w:r>
            <w:r>
              <w:rPr>
                <w:rFonts w:hint="default" w:ascii="Times New Roman" w:hAnsi="Times New Roman" w:eastAsia="仿宋_GB2312" w:cs="Times New Roman"/>
              </w:rPr>
              <w:t>家</w:t>
            </w:r>
          </w:p>
        </w:tc>
        <w:tc>
          <w:tcPr>
            <w:tcW w:w="2238"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u w:val="single"/>
              </w:rPr>
            </w:pPr>
            <w:r>
              <w:rPr>
                <w:rFonts w:hint="default" w:ascii="Times New Roman" w:hAnsi="Times New Roman" w:eastAsia="仿宋_GB2312" w:cs="Times New Roman"/>
              </w:rPr>
              <w:t>主板：</w:t>
            </w:r>
            <w:r>
              <w:rPr>
                <w:rFonts w:hint="default" w:ascii="Times New Roman" w:hAnsi="Times New Roman" w:eastAsia="仿宋_GB2312" w:cs="Times New Roman"/>
                <w:u w:val="single"/>
              </w:rPr>
              <w:t xml:space="preserve">       </w:t>
            </w:r>
            <w:r>
              <w:rPr>
                <w:rFonts w:hint="default" w:ascii="Times New Roman" w:hAnsi="Times New Roman" w:eastAsia="仿宋_GB2312" w:cs="Times New Roman"/>
              </w:rPr>
              <w:t>家</w:t>
            </w:r>
          </w:p>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中小板：</w:t>
            </w:r>
            <w:r>
              <w:rPr>
                <w:rFonts w:hint="default" w:ascii="Times New Roman" w:hAnsi="Times New Roman" w:eastAsia="仿宋_GB2312" w:cs="Times New Roman"/>
                <w:u w:val="single"/>
              </w:rPr>
              <w:t xml:space="preserve">      </w:t>
            </w:r>
            <w:r>
              <w:rPr>
                <w:rFonts w:hint="default" w:ascii="Times New Roman" w:hAnsi="Times New Roman" w:eastAsia="仿宋_GB2312" w:cs="Times New Roman"/>
              </w:rPr>
              <w:t>家</w:t>
            </w:r>
          </w:p>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创业板：</w:t>
            </w:r>
            <w:r>
              <w:rPr>
                <w:rFonts w:hint="default" w:ascii="Times New Roman" w:hAnsi="Times New Roman" w:eastAsia="仿宋_GB2312" w:cs="Times New Roman"/>
                <w:u w:val="single"/>
              </w:rPr>
              <w:t xml:space="preserve">      </w:t>
            </w:r>
            <w:r>
              <w:rPr>
                <w:rFonts w:hint="default" w:ascii="Times New Roman" w:hAnsi="Times New Roman" w:eastAsia="仿宋_GB2312" w:cs="Times New Roman"/>
              </w:rPr>
              <w:t>家</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987" w:hRule="atLeast"/>
          <w:jc w:val="center"/>
        </w:trPr>
        <w:tc>
          <w:tcPr>
            <w:tcW w:w="1550" w:type="dxa"/>
            <w:vMerge w:val="continue"/>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352" w:right="338"/>
              <w:jc w:val="center"/>
              <w:textAlignment w:val="auto"/>
              <w:rPr>
                <w:rFonts w:hint="default" w:ascii="Times New Roman" w:hAnsi="Times New Roman" w:eastAsia="仿宋_GB2312" w:cs="Times New Roman"/>
              </w:rPr>
            </w:pPr>
          </w:p>
        </w:tc>
        <w:tc>
          <w:tcPr>
            <w:tcW w:w="2693"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0" w:right="92"/>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10.土地开发利用率（％）</w:t>
            </w:r>
          </w:p>
        </w:tc>
        <w:tc>
          <w:tcPr>
            <w:tcW w:w="4961"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示范基地已开发面积与示范基地实际管辖范围内规划面积的比值。</w:t>
            </w:r>
          </w:p>
        </w:tc>
        <w:tc>
          <w:tcPr>
            <w:tcW w:w="2156"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p>
        </w:tc>
        <w:tc>
          <w:tcPr>
            <w:tcW w:w="2238"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46" w:hRule="atLeast"/>
          <w:jc w:val="center"/>
        </w:trPr>
        <w:tc>
          <w:tcPr>
            <w:tcW w:w="1550" w:type="dxa"/>
            <w:vMerge w:val="restart"/>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质量效益</w:t>
            </w:r>
          </w:p>
        </w:tc>
        <w:tc>
          <w:tcPr>
            <w:tcW w:w="2693"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0" w:right="92"/>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1.全员劳动生产率（万元/人）</w:t>
            </w:r>
          </w:p>
        </w:tc>
        <w:tc>
          <w:tcPr>
            <w:tcW w:w="4961"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示范基地工业总产值与示范基地期末从业人员数的比值。</w:t>
            </w:r>
          </w:p>
        </w:tc>
        <w:tc>
          <w:tcPr>
            <w:tcW w:w="2156"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p>
        </w:tc>
        <w:tc>
          <w:tcPr>
            <w:tcW w:w="2238"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988" w:hRule="atLeast"/>
          <w:jc w:val="center"/>
        </w:trPr>
        <w:tc>
          <w:tcPr>
            <w:tcW w:w="1550" w:type="dxa"/>
            <w:vMerge w:val="continue"/>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352" w:right="338"/>
              <w:jc w:val="center"/>
              <w:textAlignment w:val="auto"/>
              <w:rPr>
                <w:rFonts w:hint="default" w:ascii="Times New Roman" w:hAnsi="Times New Roman" w:eastAsia="仿宋_GB2312" w:cs="Times New Roman"/>
              </w:rPr>
            </w:pPr>
          </w:p>
        </w:tc>
        <w:tc>
          <w:tcPr>
            <w:tcW w:w="2693"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0" w:right="92"/>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2.亩均生产总值（万元/亩）</w:t>
            </w:r>
          </w:p>
        </w:tc>
        <w:tc>
          <w:tcPr>
            <w:tcW w:w="4961"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示范基地生产总值与示范基地实际开发用地面积之比。</w:t>
            </w:r>
          </w:p>
        </w:tc>
        <w:tc>
          <w:tcPr>
            <w:tcW w:w="2156"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p>
        </w:tc>
        <w:tc>
          <w:tcPr>
            <w:tcW w:w="2238"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260" w:hRule="atLeast"/>
          <w:jc w:val="center"/>
        </w:trPr>
        <w:tc>
          <w:tcPr>
            <w:tcW w:w="1550" w:type="dxa"/>
            <w:vMerge w:val="continue"/>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352" w:right="338"/>
              <w:jc w:val="center"/>
              <w:textAlignment w:val="auto"/>
              <w:rPr>
                <w:rFonts w:hint="default" w:ascii="Times New Roman" w:hAnsi="Times New Roman" w:eastAsia="仿宋_GB2312" w:cs="Times New Roman"/>
              </w:rPr>
            </w:pPr>
          </w:p>
        </w:tc>
        <w:tc>
          <w:tcPr>
            <w:tcW w:w="2693"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0" w:right="92"/>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3.规模以上工业增加值增速（％）</w:t>
            </w:r>
          </w:p>
        </w:tc>
        <w:tc>
          <w:tcPr>
            <w:tcW w:w="4961"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示范基地规模以上工业增加值增长速度，即示范基地评价年度规模以上工业增加值和其上年度规模以上工业增加值的差值与示范基地上年度规模以上工业增加值的比值。</w:t>
            </w:r>
          </w:p>
        </w:tc>
        <w:tc>
          <w:tcPr>
            <w:tcW w:w="2156"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p>
        </w:tc>
        <w:tc>
          <w:tcPr>
            <w:tcW w:w="2238"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260" w:hRule="atLeast"/>
          <w:jc w:val="center"/>
        </w:trPr>
        <w:tc>
          <w:tcPr>
            <w:tcW w:w="1550" w:type="dxa"/>
            <w:vMerge w:val="continue"/>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352" w:right="338"/>
              <w:jc w:val="center"/>
              <w:textAlignment w:val="auto"/>
              <w:rPr>
                <w:rFonts w:hint="default" w:ascii="Times New Roman" w:hAnsi="Times New Roman" w:eastAsia="仿宋_GB2312" w:cs="Times New Roman"/>
              </w:rPr>
            </w:pPr>
          </w:p>
        </w:tc>
        <w:tc>
          <w:tcPr>
            <w:tcW w:w="2693"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0" w:right="92"/>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4.规模以上工业企业利润增速（％）</w:t>
            </w:r>
          </w:p>
        </w:tc>
        <w:tc>
          <w:tcPr>
            <w:tcW w:w="4961"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示范基地评价年度规模以上工业企业利润总额和其上年度规模以上工业企业利润总额的差值与示范基地上年度规模以上工业企业利润总额的比值。</w:t>
            </w:r>
          </w:p>
        </w:tc>
        <w:tc>
          <w:tcPr>
            <w:tcW w:w="2156"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p>
        </w:tc>
        <w:tc>
          <w:tcPr>
            <w:tcW w:w="2238"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260" w:hRule="atLeast"/>
          <w:jc w:val="center"/>
        </w:trPr>
        <w:tc>
          <w:tcPr>
            <w:tcW w:w="1550" w:type="dxa"/>
            <w:vMerge w:val="continue"/>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352" w:right="338"/>
              <w:jc w:val="center"/>
              <w:textAlignment w:val="auto"/>
              <w:rPr>
                <w:rFonts w:hint="default" w:ascii="Times New Roman" w:hAnsi="Times New Roman" w:eastAsia="仿宋_GB2312" w:cs="Times New Roman"/>
              </w:rPr>
            </w:pPr>
          </w:p>
        </w:tc>
        <w:tc>
          <w:tcPr>
            <w:tcW w:w="2693"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0" w:right="92"/>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5.主导产业增加值增速幅度（％）</w:t>
            </w:r>
          </w:p>
        </w:tc>
        <w:tc>
          <w:tcPr>
            <w:tcW w:w="4961"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示范基地评价年度主导产业增加值增速与其评价年度的上年度主导产业增加值增速的差值。</w:t>
            </w:r>
          </w:p>
        </w:tc>
        <w:tc>
          <w:tcPr>
            <w:tcW w:w="2156"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p>
        </w:tc>
        <w:tc>
          <w:tcPr>
            <w:tcW w:w="2238"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260" w:hRule="atLeast"/>
          <w:jc w:val="center"/>
        </w:trPr>
        <w:tc>
          <w:tcPr>
            <w:tcW w:w="1550" w:type="dxa"/>
            <w:vMerge w:val="continue"/>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352" w:right="338"/>
              <w:jc w:val="center"/>
              <w:textAlignment w:val="auto"/>
              <w:rPr>
                <w:rFonts w:hint="default" w:ascii="Times New Roman" w:hAnsi="Times New Roman" w:eastAsia="仿宋_GB2312" w:cs="Times New Roman"/>
              </w:rPr>
            </w:pPr>
          </w:p>
        </w:tc>
        <w:tc>
          <w:tcPr>
            <w:tcW w:w="2693"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0" w:right="92"/>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6.编制标准数量（项）</w:t>
            </w:r>
          </w:p>
        </w:tc>
        <w:tc>
          <w:tcPr>
            <w:tcW w:w="4961"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示范基地企业历年累计主（参）编且已发布实施的行业、国家或国际标准的数量。</w:t>
            </w:r>
          </w:p>
        </w:tc>
        <w:tc>
          <w:tcPr>
            <w:tcW w:w="2156"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国际标准：</w:t>
            </w:r>
            <w:r>
              <w:rPr>
                <w:rFonts w:hint="default" w:ascii="Times New Roman" w:hAnsi="Times New Roman" w:eastAsia="仿宋_GB2312" w:cs="Times New Roman"/>
                <w:u w:val="single"/>
              </w:rPr>
              <w:t xml:space="preserve">   </w:t>
            </w:r>
            <w:r>
              <w:rPr>
                <w:rFonts w:hint="default" w:ascii="Times New Roman" w:hAnsi="Times New Roman" w:eastAsia="仿宋_GB2312" w:cs="Times New Roman"/>
              </w:rPr>
              <w:t>项</w:t>
            </w:r>
          </w:p>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国家标准：</w:t>
            </w:r>
            <w:r>
              <w:rPr>
                <w:rFonts w:hint="default" w:ascii="Times New Roman" w:hAnsi="Times New Roman" w:eastAsia="仿宋_GB2312" w:cs="Times New Roman"/>
                <w:u w:val="single"/>
              </w:rPr>
              <w:t xml:space="preserve">   </w:t>
            </w:r>
            <w:r>
              <w:rPr>
                <w:rFonts w:hint="default" w:ascii="Times New Roman" w:hAnsi="Times New Roman" w:eastAsia="仿宋_GB2312" w:cs="Times New Roman"/>
              </w:rPr>
              <w:t>项</w:t>
            </w:r>
          </w:p>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行业标准：</w:t>
            </w:r>
            <w:r>
              <w:rPr>
                <w:rFonts w:hint="default" w:ascii="Times New Roman" w:hAnsi="Times New Roman" w:eastAsia="仿宋_GB2312" w:cs="Times New Roman"/>
                <w:u w:val="single"/>
              </w:rPr>
              <w:t xml:space="preserve">   </w:t>
            </w:r>
            <w:r>
              <w:rPr>
                <w:rFonts w:hint="default" w:ascii="Times New Roman" w:hAnsi="Times New Roman" w:eastAsia="仿宋_GB2312" w:cs="Times New Roman"/>
              </w:rPr>
              <w:t>项</w:t>
            </w:r>
          </w:p>
        </w:tc>
        <w:tc>
          <w:tcPr>
            <w:tcW w:w="2238"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国际标准：</w:t>
            </w:r>
            <w:r>
              <w:rPr>
                <w:rFonts w:hint="default" w:ascii="Times New Roman" w:hAnsi="Times New Roman" w:eastAsia="仿宋_GB2312" w:cs="Times New Roman"/>
                <w:u w:val="single"/>
              </w:rPr>
              <w:t xml:space="preserve">   </w:t>
            </w:r>
            <w:r>
              <w:rPr>
                <w:rFonts w:hint="default" w:ascii="Times New Roman" w:hAnsi="Times New Roman" w:eastAsia="仿宋_GB2312" w:cs="Times New Roman"/>
              </w:rPr>
              <w:t>项</w:t>
            </w:r>
          </w:p>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国家标准：</w:t>
            </w:r>
            <w:r>
              <w:rPr>
                <w:rFonts w:hint="default" w:ascii="Times New Roman" w:hAnsi="Times New Roman" w:eastAsia="仿宋_GB2312" w:cs="Times New Roman"/>
                <w:u w:val="single"/>
              </w:rPr>
              <w:t xml:space="preserve">   </w:t>
            </w:r>
            <w:r>
              <w:rPr>
                <w:rFonts w:hint="default" w:ascii="Times New Roman" w:hAnsi="Times New Roman" w:eastAsia="仿宋_GB2312" w:cs="Times New Roman"/>
              </w:rPr>
              <w:t>项</w:t>
            </w:r>
          </w:p>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行业标准：</w:t>
            </w:r>
            <w:r>
              <w:rPr>
                <w:rFonts w:hint="default" w:ascii="Times New Roman" w:hAnsi="Times New Roman" w:eastAsia="仿宋_GB2312" w:cs="Times New Roman"/>
                <w:u w:val="single"/>
              </w:rPr>
              <w:t xml:space="preserve">   </w:t>
            </w:r>
            <w:r>
              <w:rPr>
                <w:rFonts w:hint="default" w:ascii="Times New Roman" w:hAnsi="Times New Roman" w:eastAsia="仿宋_GB2312" w:cs="Times New Roman"/>
              </w:rPr>
              <w:t>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260" w:hRule="atLeast"/>
          <w:jc w:val="center"/>
        </w:trPr>
        <w:tc>
          <w:tcPr>
            <w:tcW w:w="1550" w:type="dxa"/>
            <w:vMerge w:val="continue"/>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352" w:right="338"/>
              <w:jc w:val="center"/>
              <w:textAlignment w:val="auto"/>
              <w:rPr>
                <w:rFonts w:hint="default" w:ascii="Times New Roman" w:hAnsi="Times New Roman" w:eastAsia="仿宋_GB2312" w:cs="Times New Roman"/>
              </w:rPr>
            </w:pPr>
          </w:p>
        </w:tc>
        <w:tc>
          <w:tcPr>
            <w:tcW w:w="2693"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0" w:right="92"/>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7.通过体系认证企业的比重（％）</w:t>
            </w:r>
          </w:p>
        </w:tc>
        <w:tc>
          <w:tcPr>
            <w:tcW w:w="4961"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示范基地历年累计通过质量管理体系、绿色产品认证体系、能源管理体系、信息安全管理体系认证企业数量与示范基地企业数量的比值。</w:t>
            </w:r>
          </w:p>
        </w:tc>
        <w:tc>
          <w:tcPr>
            <w:tcW w:w="2156"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p>
        </w:tc>
        <w:tc>
          <w:tcPr>
            <w:tcW w:w="2238"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260" w:hRule="atLeast"/>
          <w:jc w:val="center"/>
        </w:trPr>
        <w:tc>
          <w:tcPr>
            <w:tcW w:w="1550" w:type="dxa"/>
            <w:vMerge w:val="continue"/>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352" w:right="338"/>
              <w:jc w:val="center"/>
              <w:textAlignment w:val="auto"/>
              <w:rPr>
                <w:rFonts w:hint="default" w:ascii="Times New Roman" w:hAnsi="Times New Roman" w:eastAsia="仿宋_GB2312" w:cs="Times New Roman"/>
              </w:rPr>
            </w:pPr>
          </w:p>
        </w:tc>
        <w:tc>
          <w:tcPr>
            <w:tcW w:w="2693"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0" w:right="92"/>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8.荣获政府质量奖数量（项）</w:t>
            </w:r>
          </w:p>
        </w:tc>
        <w:tc>
          <w:tcPr>
            <w:tcW w:w="4961"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示范基地历年荣获地级市及以上人民政府和省级及以上行业协会颁发的质量奖（含提名奖）组织和个人数量之和。</w:t>
            </w:r>
          </w:p>
        </w:tc>
        <w:tc>
          <w:tcPr>
            <w:tcW w:w="2156"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p>
        </w:tc>
        <w:tc>
          <w:tcPr>
            <w:tcW w:w="2238"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260" w:hRule="atLeast"/>
          <w:jc w:val="center"/>
        </w:trPr>
        <w:tc>
          <w:tcPr>
            <w:tcW w:w="1550" w:type="dxa"/>
            <w:vMerge w:val="continue"/>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352" w:right="338"/>
              <w:jc w:val="center"/>
              <w:textAlignment w:val="auto"/>
              <w:rPr>
                <w:rFonts w:hint="default" w:ascii="Times New Roman" w:hAnsi="Times New Roman" w:eastAsia="仿宋_GB2312" w:cs="Times New Roman"/>
              </w:rPr>
            </w:pPr>
          </w:p>
        </w:tc>
        <w:tc>
          <w:tcPr>
            <w:tcW w:w="2693"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0" w:right="92"/>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9.质量管理专业高级职称人数占比（％）</w:t>
            </w:r>
          </w:p>
        </w:tc>
        <w:tc>
          <w:tcPr>
            <w:tcW w:w="4961"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示范基地规模以上工业企业具有质量管理专业高级职称的从业人员数量占示范基地规模以上工业企业期末从业人员数量的比重。</w:t>
            </w:r>
          </w:p>
        </w:tc>
        <w:tc>
          <w:tcPr>
            <w:tcW w:w="2156"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p>
        </w:tc>
        <w:tc>
          <w:tcPr>
            <w:tcW w:w="2238"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050" w:hRule="atLeast"/>
          <w:jc w:val="center"/>
        </w:trPr>
        <w:tc>
          <w:tcPr>
            <w:tcW w:w="1550" w:type="dxa"/>
            <w:vMerge w:val="restart"/>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创新驱动</w:t>
            </w:r>
          </w:p>
        </w:tc>
        <w:tc>
          <w:tcPr>
            <w:tcW w:w="2693"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0" w:right="92"/>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1.年度研发人员数量占比（％）</w:t>
            </w:r>
          </w:p>
        </w:tc>
        <w:tc>
          <w:tcPr>
            <w:tcW w:w="4961"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示范基地评价年度期末研发人员数量占示范基地期末从业人员数量的比重。</w:t>
            </w:r>
          </w:p>
        </w:tc>
        <w:tc>
          <w:tcPr>
            <w:tcW w:w="2156"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p>
        </w:tc>
        <w:tc>
          <w:tcPr>
            <w:tcW w:w="2238"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260" w:hRule="atLeast"/>
          <w:jc w:val="center"/>
        </w:trPr>
        <w:tc>
          <w:tcPr>
            <w:tcW w:w="1550" w:type="dxa"/>
            <w:vMerge w:val="continue"/>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352" w:right="338"/>
              <w:jc w:val="center"/>
              <w:textAlignment w:val="auto"/>
              <w:rPr>
                <w:rFonts w:hint="default" w:ascii="Times New Roman" w:hAnsi="Times New Roman" w:eastAsia="仿宋_GB2312" w:cs="Times New Roman"/>
              </w:rPr>
            </w:pPr>
          </w:p>
        </w:tc>
        <w:tc>
          <w:tcPr>
            <w:tcW w:w="2693"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0" w:right="92"/>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2.规模以上工业企业研发费用占比（％）</w:t>
            </w:r>
          </w:p>
        </w:tc>
        <w:tc>
          <w:tcPr>
            <w:tcW w:w="4961"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示范基地规模以上工业企业研究与试验发展经费（R&amp;D经费）内部支出总额占示范基地规模以上工业企业营业收入的比重。</w:t>
            </w:r>
          </w:p>
        </w:tc>
        <w:tc>
          <w:tcPr>
            <w:tcW w:w="2156"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p>
        </w:tc>
        <w:tc>
          <w:tcPr>
            <w:tcW w:w="2238"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150" w:hRule="atLeast"/>
          <w:jc w:val="center"/>
        </w:trPr>
        <w:tc>
          <w:tcPr>
            <w:tcW w:w="1550" w:type="dxa"/>
            <w:vMerge w:val="continue"/>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352" w:right="338"/>
              <w:jc w:val="center"/>
              <w:textAlignment w:val="auto"/>
              <w:rPr>
                <w:rFonts w:hint="default" w:ascii="Times New Roman" w:hAnsi="Times New Roman" w:eastAsia="仿宋_GB2312" w:cs="Times New Roman"/>
              </w:rPr>
            </w:pPr>
          </w:p>
        </w:tc>
        <w:tc>
          <w:tcPr>
            <w:tcW w:w="2693"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0" w:right="92"/>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3.规模以上工业企业每亿元营业收入有效发明专利数（件）</w:t>
            </w:r>
          </w:p>
        </w:tc>
        <w:tc>
          <w:tcPr>
            <w:tcW w:w="4961"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示范基地规模以上工业企业拥有的发明专利总数与示范基地规模以上工业企业营业收入的比值。</w:t>
            </w:r>
          </w:p>
        </w:tc>
        <w:tc>
          <w:tcPr>
            <w:tcW w:w="2156"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p>
        </w:tc>
        <w:tc>
          <w:tcPr>
            <w:tcW w:w="2238"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950" w:hRule="atLeast"/>
          <w:jc w:val="center"/>
        </w:trPr>
        <w:tc>
          <w:tcPr>
            <w:tcW w:w="1550" w:type="dxa"/>
            <w:vMerge w:val="continue"/>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352" w:right="338"/>
              <w:jc w:val="center"/>
              <w:textAlignment w:val="auto"/>
              <w:rPr>
                <w:rFonts w:hint="default" w:ascii="Times New Roman" w:hAnsi="Times New Roman" w:eastAsia="仿宋_GB2312" w:cs="Times New Roman"/>
              </w:rPr>
            </w:pPr>
          </w:p>
        </w:tc>
        <w:tc>
          <w:tcPr>
            <w:tcW w:w="2693"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0" w:right="92"/>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4.省级及以上研发机构数量（家）</w:t>
            </w:r>
          </w:p>
        </w:tc>
        <w:tc>
          <w:tcPr>
            <w:tcW w:w="4961"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示范基地历年已获批的与主导产业相关的省级及以上研发机构数量。</w:t>
            </w:r>
          </w:p>
        </w:tc>
        <w:tc>
          <w:tcPr>
            <w:tcW w:w="2156"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p>
        </w:tc>
        <w:tc>
          <w:tcPr>
            <w:tcW w:w="2238"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950" w:hRule="atLeast"/>
          <w:jc w:val="center"/>
        </w:trPr>
        <w:tc>
          <w:tcPr>
            <w:tcW w:w="1550" w:type="dxa"/>
            <w:vMerge w:val="continue"/>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352" w:right="338"/>
              <w:jc w:val="center"/>
              <w:textAlignment w:val="auto"/>
              <w:rPr>
                <w:rFonts w:hint="default" w:ascii="Times New Roman" w:hAnsi="Times New Roman" w:eastAsia="仿宋_GB2312" w:cs="Times New Roman"/>
              </w:rPr>
            </w:pPr>
          </w:p>
        </w:tc>
        <w:tc>
          <w:tcPr>
            <w:tcW w:w="2693"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0" w:right="92"/>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5.省级及以上创新载体数量（家）</w:t>
            </w:r>
          </w:p>
        </w:tc>
        <w:tc>
          <w:tcPr>
            <w:tcW w:w="4961"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示范基地历年已获批的与主导产业相关的省级及以上创新载体数量之和。</w:t>
            </w:r>
          </w:p>
        </w:tc>
        <w:tc>
          <w:tcPr>
            <w:tcW w:w="2156"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p>
        </w:tc>
        <w:tc>
          <w:tcPr>
            <w:tcW w:w="2238"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260" w:hRule="atLeast"/>
          <w:jc w:val="center"/>
        </w:trPr>
        <w:tc>
          <w:tcPr>
            <w:tcW w:w="1550" w:type="dxa"/>
            <w:vMerge w:val="continue"/>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352" w:right="338"/>
              <w:jc w:val="center"/>
              <w:textAlignment w:val="auto"/>
              <w:rPr>
                <w:rFonts w:hint="default" w:ascii="Times New Roman" w:hAnsi="Times New Roman" w:eastAsia="仿宋_GB2312" w:cs="Times New Roman"/>
              </w:rPr>
            </w:pPr>
          </w:p>
        </w:tc>
        <w:tc>
          <w:tcPr>
            <w:tcW w:w="2693"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0" w:right="92"/>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6.高新技术产业增加值增速（％）</w:t>
            </w:r>
          </w:p>
        </w:tc>
        <w:tc>
          <w:tcPr>
            <w:tcW w:w="4961"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示范基地评价年度高新技术产业增加值和其评价年度的上年度高新技术产业增加值的差值与示范基地评价年度的上年度高新技术产业增加值之比。</w:t>
            </w:r>
          </w:p>
        </w:tc>
        <w:tc>
          <w:tcPr>
            <w:tcW w:w="2156"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p>
        </w:tc>
        <w:tc>
          <w:tcPr>
            <w:tcW w:w="2238"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970" w:hRule="atLeast"/>
          <w:jc w:val="center"/>
        </w:trPr>
        <w:tc>
          <w:tcPr>
            <w:tcW w:w="1550" w:type="dxa"/>
            <w:vMerge w:val="continue"/>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352" w:right="338"/>
              <w:jc w:val="center"/>
              <w:textAlignment w:val="auto"/>
              <w:rPr>
                <w:rFonts w:hint="default" w:ascii="Times New Roman" w:hAnsi="Times New Roman" w:eastAsia="仿宋_GB2312" w:cs="Times New Roman"/>
              </w:rPr>
            </w:pPr>
          </w:p>
        </w:tc>
        <w:tc>
          <w:tcPr>
            <w:tcW w:w="2693"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0" w:right="92"/>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7.技术合同交易额（亿元）</w:t>
            </w:r>
          </w:p>
        </w:tc>
        <w:tc>
          <w:tcPr>
            <w:tcW w:w="4961"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针对技术开发、技术转让、技术咨询和技术服务类合同的技术性收入。</w:t>
            </w:r>
          </w:p>
        </w:tc>
        <w:tc>
          <w:tcPr>
            <w:tcW w:w="2156"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p>
        </w:tc>
        <w:tc>
          <w:tcPr>
            <w:tcW w:w="2238"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260" w:hRule="atLeast"/>
          <w:jc w:val="center"/>
        </w:trPr>
        <w:tc>
          <w:tcPr>
            <w:tcW w:w="1550" w:type="dxa"/>
            <w:vMerge w:val="restart"/>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绿色集约安全</w:t>
            </w:r>
          </w:p>
        </w:tc>
        <w:tc>
          <w:tcPr>
            <w:tcW w:w="2693"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0" w:right="92"/>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1.单位工业增加值能耗降低率</w:t>
            </w:r>
          </w:p>
          <w:p>
            <w:pPr>
              <w:pStyle w:val="4"/>
              <w:keepNext w:val="0"/>
              <w:keepLines w:val="0"/>
              <w:pageBreakBefore w:val="0"/>
              <w:widowControl w:val="0"/>
              <w:kinsoku/>
              <w:wordWrap w:val="0"/>
              <w:overflowPunct w:val="0"/>
              <w:topLinePunct/>
              <w:autoSpaceDE/>
              <w:autoSpaceDN/>
              <w:bidi w:val="0"/>
              <w:adjustRightInd w:val="0"/>
              <w:snapToGrid/>
              <w:spacing w:line="360" w:lineRule="exact"/>
              <w:ind w:left="110" w:right="92"/>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w:t>
            </w:r>
          </w:p>
        </w:tc>
        <w:tc>
          <w:tcPr>
            <w:tcW w:w="4961"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示范基地评价年度的上年度单位工业增加值能耗和评价年度单位工业增加值能耗的差值与示范基地评价年度的上年度单位工业增加值能耗之比。</w:t>
            </w:r>
          </w:p>
        </w:tc>
        <w:tc>
          <w:tcPr>
            <w:tcW w:w="2156"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p>
        </w:tc>
        <w:tc>
          <w:tcPr>
            <w:tcW w:w="2238"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935" w:hRule="atLeast"/>
          <w:jc w:val="center"/>
        </w:trPr>
        <w:tc>
          <w:tcPr>
            <w:tcW w:w="1550" w:type="dxa"/>
            <w:vMerge w:val="continue"/>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352" w:right="338"/>
              <w:jc w:val="center"/>
              <w:textAlignment w:val="auto"/>
              <w:rPr>
                <w:rFonts w:hint="default" w:ascii="Times New Roman" w:hAnsi="Times New Roman" w:eastAsia="仿宋_GB2312" w:cs="Times New Roman"/>
              </w:rPr>
            </w:pPr>
          </w:p>
        </w:tc>
        <w:tc>
          <w:tcPr>
            <w:tcW w:w="2693"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0" w:right="92"/>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2.单位水耗工业增加值（万元/吨）</w:t>
            </w:r>
          </w:p>
        </w:tc>
        <w:tc>
          <w:tcPr>
            <w:tcW w:w="4961"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示范基地规模以上工业增加值与规模以上工业企业用新水量的比值。</w:t>
            </w:r>
          </w:p>
        </w:tc>
        <w:tc>
          <w:tcPr>
            <w:tcW w:w="2156"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p>
        </w:tc>
        <w:tc>
          <w:tcPr>
            <w:tcW w:w="2238"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260" w:hRule="atLeast"/>
          <w:jc w:val="center"/>
        </w:trPr>
        <w:tc>
          <w:tcPr>
            <w:tcW w:w="1550" w:type="dxa"/>
            <w:vMerge w:val="continue"/>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352" w:right="338"/>
              <w:jc w:val="center"/>
              <w:textAlignment w:val="auto"/>
              <w:rPr>
                <w:rFonts w:hint="default" w:ascii="Times New Roman" w:hAnsi="Times New Roman" w:eastAsia="仿宋_GB2312" w:cs="Times New Roman"/>
              </w:rPr>
            </w:pPr>
          </w:p>
        </w:tc>
        <w:tc>
          <w:tcPr>
            <w:tcW w:w="2693"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0" w:right="92"/>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3.工业固体废弃物综合利用率</w:t>
            </w:r>
          </w:p>
          <w:p>
            <w:pPr>
              <w:pStyle w:val="4"/>
              <w:keepNext w:val="0"/>
              <w:keepLines w:val="0"/>
              <w:pageBreakBefore w:val="0"/>
              <w:widowControl w:val="0"/>
              <w:kinsoku/>
              <w:wordWrap w:val="0"/>
              <w:overflowPunct w:val="0"/>
              <w:topLinePunct/>
              <w:autoSpaceDE/>
              <w:autoSpaceDN/>
              <w:bidi w:val="0"/>
              <w:adjustRightInd w:val="0"/>
              <w:snapToGrid/>
              <w:spacing w:line="360" w:lineRule="exact"/>
              <w:ind w:left="110" w:right="92"/>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w:t>
            </w:r>
          </w:p>
        </w:tc>
        <w:tc>
          <w:tcPr>
            <w:tcW w:w="4961"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工业固体废弃物综合利用量占工业固体废弃物产生量(包括综合利用往年贮存量)的比重。</w:t>
            </w:r>
          </w:p>
        </w:tc>
        <w:tc>
          <w:tcPr>
            <w:tcW w:w="2156"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p>
        </w:tc>
        <w:tc>
          <w:tcPr>
            <w:tcW w:w="2238"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981" w:hRule="atLeast"/>
          <w:jc w:val="center"/>
        </w:trPr>
        <w:tc>
          <w:tcPr>
            <w:tcW w:w="1550" w:type="dxa"/>
            <w:vMerge w:val="continue"/>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352" w:right="338"/>
              <w:jc w:val="center"/>
              <w:textAlignment w:val="auto"/>
              <w:rPr>
                <w:rFonts w:hint="default" w:ascii="Times New Roman" w:hAnsi="Times New Roman" w:eastAsia="仿宋_GB2312" w:cs="Times New Roman"/>
              </w:rPr>
            </w:pPr>
          </w:p>
        </w:tc>
        <w:tc>
          <w:tcPr>
            <w:tcW w:w="2693"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0" w:right="92"/>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4.绿色制造体系单位数量（家）</w:t>
            </w:r>
          </w:p>
        </w:tc>
        <w:tc>
          <w:tcPr>
            <w:tcW w:w="4961"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示范基地历年被列入省级及以上绿色制造体系单位名单的企业数量。</w:t>
            </w:r>
          </w:p>
        </w:tc>
        <w:tc>
          <w:tcPr>
            <w:tcW w:w="2156"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p>
        </w:tc>
        <w:tc>
          <w:tcPr>
            <w:tcW w:w="2238"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260" w:hRule="atLeast"/>
          <w:jc w:val="center"/>
        </w:trPr>
        <w:tc>
          <w:tcPr>
            <w:tcW w:w="1550" w:type="dxa"/>
            <w:vMerge w:val="restart"/>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融合发展</w:t>
            </w:r>
          </w:p>
        </w:tc>
        <w:tc>
          <w:tcPr>
            <w:tcW w:w="2693" w:type="dxa"/>
            <w:vMerge w:val="restart"/>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0" w:right="92"/>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1.专精特新企业数量（家）</w:t>
            </w:r>
          </w:p>
        </w:tc>
        <w:tc>
          <w:tcPr>
            <w:tcW w:w="4961"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示范基地评价年度新增被列入国家级制造业单项冠军企业（产品）、国家级专精特新“小巨人”企业名单的企业数量。</w:t>
            </w:r>
          </w:p>
        </w:tc>
        <w:tc>
          <w:tcPr>
            <w:tcW w:w="2156"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国家级制造业单项冠军企业（产品）</w:t>
            </w:r>
            <w:r>
              <w:rPr>
                <w:rFonts w:hint="default" w:ascii="Times New Roman" w:hAnsi="Times New Roman" w:eastAsia="仿宋_GB2312" w:cs="Times New Roman"/>
                <w:u w:val="single"/>
              </w:rPr>
              <w:t xml:space="preserve">    </w:t>
            </w:r>
            <w:r>
              <w:rPr>
                <w:rFonts w:hint="default" w:ascii="Times New Roman" w:hAnsi="Times New Roman" w:eastAsia="仿宋_GB2312" w:cs="Times New Roman"/>
              </w:rPr>
              <w:t>家</w:t>
            </w:r>
          </w:p>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u w:val="single"/>
              </w:rPr>
            </w:pPr>
            <w:r>
              <w:rPr>
                <w:rFonts w:hint="default" w:ascii="Times New Roman" w:hAnsi="Times New Roman" w:eastAsia="仿宋_GB2312" w:cs="Times New Roman"/>
              </w:rPr>
              <w:t>国家级专精特新“小巨人”</w:t>
            </w:r>
            <w:r>
              <w:rPr>
                <w:rFonts w:hint="default" w:ascii="Times New Roman" w:hAnsi="Times New Roman" w:eastAsia="仿宋_GB2312" w:cs="Times New Roman"/>
                <w:u w:val="single"/>
              </w:rPr>
              <w:t xml:space="preserve">    </w:t>
            </w:r>
            <w:r>
              <w:rPr>
                <w:rFonts w:hint="default" w:ascii="Times New Roman" w:hAnsi="Times New Roman" w:eastAsia="仿宋_GB2312" w:cs="Times New Roman"/>
              </w:rPr>
              <w:t>家</w:t>
            </w:r>
          </w:p>
        </w:tc>
        <w:tc>
          <w:tcPr>
            <w:tcW w:w="2238"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国家级制造业单项冠军企业（产品）</w:t>
            </w:r>
            <w:r>
              <w:rPr>
                <w:rFonts w:hint="default" w:ascii="Times New Roman" w:hAnsi="Times New Roman" w:eastAsia="仿宋_GB2312" w:cs="Times New Roman"/>
                <w:u w:val="single"/>
              </w:rPr>
              <w:t xml:space="preserve">    </w:t>
            </w:r>
            <w:r>
              <w:rPr>
                <w:rFonts w:hint="default" w:ascii="Times New Roman" w:hAnsi="Times New Roman" w:eastAsia="仿宋_GB2312" w:cs="Times New Roman"/>
              </w:rPr>
              <w:t>家</w:t>
            </w:r>
          </w:p>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国家级专精特新“小巨人”</w:t>
            </w:r>
            <w:r>
              <w:rPr>
                <w:rFonts w:hint="default" w:ascii="Times New Roman" w:hAnsi="Times New Roman" w:eastAsia="仿宋_GB2312" w:cs="Times New Roman"/>
                <w:u w:val="single"/>
              </w:rPr>
              <w:t xml:space="preserve">    </w:t>
            </w:r>
            <w:r>
              <w:rPr>
                <w:rFonts w:hint="default" w:ascii="Times New Roman" w:hAnsi="Times New Roman" w:eastAsia="仿宋_GB2312" w:cs="Times New Roman"/>
              </w:rPr>
              <w:t>家</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260" w:hRule="atLeast"/>
          <w:jc w:val="center"/>
        </w:trPr>
        <w:tc>
          <w:tcPr>
            <w:tcW w:w="1550" w:type="dxa"/>
            <w:vMerge w:val="continue"/>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352" w:right="338"/>
              <w:jc w:val="center"/>
              <w:textAlignment w:val="auto"/>
              <w:rPr>
                <w:rFonts w:hint="default" w:ascii="Times New Roman" w:hAnsi="Times New Roman" w:eastAsia="仿宋_GB2312" w:cs="Times New Roman"/>
              </w:rPr>
            </w:pPr>
          </w:p>
        </w:tc>
        <w:tc>
          <w:tcPr>
            <w:tcW w:w="2693" w:type="dxa"/>
            <w:vMerge w:val="continue"/>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0" w:right="92"/>
              <w:jc w:val="both"/>
              <w:textAlignment w:val="auto"/>
              <w:rPr>
                <w:rFonts w:hint="default" w:ascii="Times New Roman" w:hAnsi="Times New Roman" w:eastAsia="仿宋_GB2312" w:cs="Times New Roman"/>
              </w:rPr>
            </w:pPr>
          </w:p>
        </w:tc>
        <w:tc>
          <w:tcPr>
            <w:tcW w:w="4961"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示范基地评价年度新增被列入省级制造业单项冠军企业（产品）、省级专精特新企业名单的企业数量。</w:t>
            </w:r>
          </w:p>
        </w:tc>
        <w:tc>
          <w:tcPr>
            <w:tcW w:w="2156"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省级制造业单项冠军企业（产品）</w:t>
            </w:r>
            <w:r>
              <w:rPr>
                <w:rFonts w:hint="default" w:ascii="Times New Roman" w:hAnsi="Times New Roman" w:eastAsia="仿宋_GB2312" w:cs="Times New Roman"/>
                <w:u w:val="single"/>
              </w:rPr>
              <w:t xml:space="preserve">    </w:t>
            </w:r>
            <w:r>
              <w:rPr>
                <w:rFonts w:hint="default" w:ascii="Times New Roman" w:hAnsi="Times New Roman" w:eastAsia="仿宋_GB2312" w:cs="Times New Roman"/>
              </w:rPr>
              <w:t>家</w:t>
            </w:r>
          </w:p>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省级专精特新企业</w:t>
            </w:r>
            <w:r>
              <w:rPr>
                <w:rFonts w:hint="default" w:ascii="Times New Roman" w:hAnsi="Times New Roman" w:eastAsia="仿宋_GB2312" w:cs="Times New Roman"/>
                <w:u w:val="single"/>
              </w:rPr>
              <w:t xml:space="preserve">    </w:t>
            </w:r>
            <w:r>
              <w:rPr>
                <w:rFonts w:hint="default" w:ascii="Times New Roman" w:hAnsi="Times New Roman" w:eastAsia="仿宋_GB2312" w:cs="Times New Roman"/>
              </w:rPr>
              <w:t>家</w:t>
            </w:r>
          </w:p>
        </w:tc>
        <w:tc>
          <w:tcPr>
            <w:tcW w:w="2238"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省级制造业单项冠军企业（产品）</w:t>
            </w:r>
            <w:r>
              <w:rPr>
                <w:rFonts w:hint="default" w:ascii="Times New Roman" w:hAnsi="Times New Roman" w:eastAsia="仿宋_GB2312" w:cs="Times New Roman"/>
                <w:u w:val="single"/>
              </w:rPr>
              <w:t xml:space="preserve">    </w:t>
            </w:r>
            <w:r>
              <w:rPr>
                <w:rFonts w:hint="default" w:ascii="Times New Roman" w:hAnsi="Times New Roman" w:eastAsia="仿宋_GB2312" w:cs="Times New Roman"/>
              </w:rPr>
              <w:t>家</w:t>
            </w:r>
          </w:p>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省级专精特新企业</w:t>
            </w:r>
            <w:r>
              <w:rPr>
                <w:rFonts w:hint="default" w:ascii="Times New Roman" w:hAnsi="Times New Roman" w:eastAsia="仿宋_GB2312" w:cs="Times New Roman"/>
                <w:u w:val="single"/>
              </w:rPr>
              <w:t xml:space="preserve">    </w:t>
            </w:r>
            <w:r>
              <w:rPr>
                <w:rFonts w:hint="default" w:ascii="Times New Roman" w:hAnsi="Times New Roman" w:eastAsia="仿宋_GB2312" w:cs="Times New Roman"/>
              </w:rPr>
              <w:t>家</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175" w:hRule="atLeast"/>
          <w:jc w:val="center"/>
        </w:trPr>
        <w:tc>
          <w:tcPr>
            <w:tcW w:w="1550" w:type="dxa"/>
            <w:vMerge w:val="continue"/>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352" w:right="338"/>
              <w:jc w:val="center"/>
              <w:textAlignment w:val="auto"/>
              <w:rPr>
                <w:rFonts w:hint="default" w:ascii="Times New Roman" w:hAnsi="Times New Roman" w:eastAsia="仿宋_GB2312" w:cs="Times New Roman"/>
              </w:rPr>
            </w:pPr>
          </w:p>
        </w:tc>
        <w:tc>
          <w:tcPr>
            <w:tcW w:w="2693"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20" w:lineRule="exact"/>
              <w:ind w:left="110" w:right="92"/>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2.两化融合贯标企业数量（家）</w:t>
            </w:r>
          </w:p>
        </w:tc>
        <w:tc>
          <w:tcPr>
            <w:tcW w:w="4961"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20" w:lineRule="exact"/>
              <w:ind w:left="113" w:right="79"/>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示范基地历年已获批的国家级两化融合管理体系贯标企业和省级两化融合管理体系贯标标杆企业的数量。</w:t>
            </w:r>
          </w:p>
        </w:tc>
        <w:tc>
          <w:tcPr>
            <w:tcW w:w="2156" w:type="dxa"/>
          </w:tcPr>
          <w:p>
            <w:pPr>
              <w:pStyle w:val="4"/>
              <w:keepNext w:val="0"/>
              <w:keepLines w:val="0"/>
              <w:pageBreakBefore w:val="0"/>
              <w:widowControl w:val="0"/>
              <w:kinsoku/>
              <w:wordWrap w:val="0"/>
              <w:overflowPunct w:val="0"/>
              <w:topLinePunct/>
              <w:autoSpaceDE/>
              <w:autoSpaceDN/>
              <w:bidi w:val="0"/>
              <w:adjustRightInd w:val="0"/>
              <w:snapToGrid/>
              <w:spacing w:line="320" w:lineRule="exact"/>
              <w:ind w:left="113" w:right="79"/>
              <w:jc w:val="both"/>
              <w:textAlignment w:val="auto"/>
              <w:rPr>
                <w:rFonts w:hint="default" w:ascii="Times New Roman" w:hAnsi="Times New Roman" w:eastAsia="仿宋_GB2312" w:cs="Times New Roman"/>
              </w:rPr>
            </w:pPr>
          </w:p>
        </w:tc>
        <w:tc>
          <w:tcPr>
            <w:tcW w:w="2238" w:type="dxa"/>
          </w:tcPr>
          <w:p>
            <w:pPr>
              <w:pStyle w:val="4"/>
              <w:keepNext w:val="0"/>
              <w:keepLines w:val="0"/>
              <w:pageBreakBefore w:val="0"/>
              <w:widowControl w:val="0"/>
              <w:kinsoku/>
              <w:wordWrap w:val="0"/>
              <w:overflowPunct w:val="0"/>
              <w:topLinePunct/>
              <w:autoSpaceDE/>
              <w:autoSpaceDN/>
              <w:bidi w:val="0"/>
              <w:adjustRightInd w:val="0"/>
              <w:snapToGrid/>
              <w:spacing w:line="320" w:lineRule="exact"/>
              <w:ind w:left="113" w:right="79"/>
              <w:jc w:val="both"/>
              <w:textAlignment w:val="auto"/>
              <w:rPr>
                <w:rFonts w:hint="default" w:ascii="Times New Roman" w:hAnsi="Times New Roman" w:eastAsia="仿宋_GB2312" w:cs="Times New Roma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65" w:hRule="atLeast"/>
          <w:jc w:val="center"/>
        </w:trPr>
        <w:tc>
          <w:tcPr>
            <w:tcW w:w="1550" w:type="dxa"/>
            <w:vMerge w:val="continue"/>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352" w:right="338"/>
              <w:jc w:val="center"/>
              <w:textAlignment w:val="auto"/>
              <w:rPr>
                <w:rFonts w:hint="default" w:ascii="Times New Roman" w:hAnsi="Times New Roman" w:eastAsia="仿宋_GB2312" w:cs="Times New Roman"/>
              </w:rPr>
            </w:pPr>
          </w:p>
        </w:tc>
        <w:tc>
          <w:tcPr>
            <w:tcW w:w="2693"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20" w:lineRule="exact"/>
              <w:ind w:left="110" w:right="92"/>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3.智能制造示范企业数量（家）</w:t>
            </w:r>
          </w:p>
        </w:tc>
        <w:tc>
          <w:tcPr>
            <w:tcW w:w="4961"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20" w:lineRule="exact"/>
              <w:ind w:left="113" w:right="79"/>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示范基地历年已获批的省级及以上智能制造示范企业数量。</w:t>
            </w:r>
          </w:p>
        </w:tc>
        <w:tc>
          <w:tcPr>
            <w:tcW w:w="2156" w:type="dxa"/>
          </w:tcPr>
          <w:p>
            <w:pPr>
              <w:pStyle w:val="4"/>
              <w:keepNext w:val="0"/>
              <w:keepLines w:val="0"/>
              <w:pageBreakBefore w:val="0"/>
              <w:widowControl w:val="0"/>
              <w:kinsoku/>
              <w:wordWrap w:val="0"/>
              <w:overflowPunct w:val="0"/>
              <w:topLinePunct/>
              <w:autoSpaceDE/>
              <w:autoSpaceDN/>
              <w:bidi w:val="0"/>
              <w:adjustRightInd w:val="0"/>
              <w:snapToGrid/>
              <w:spacing w:line="320" w:lineRule="exact"/>
              <w:ind w:left="113" w:right="79"/>
              <w:jc w:val="both"/>
              <w:textAlignment w:val="auto"/>
              <w:rPr>
                <w:rFonts w:hint="default" w:ascii="Times New Roman" w:hAnsi="Times New Roman" w:eastAsia="仿宋_GB2312" w:cs="Times New Roman"/>
              </w:rPr>
            </w:pPr>
          </w:p>
        </w:tc>
        <w:tc>
          <w:tcPr>
            <w:tcW w:w="2238" w:type="dxa"/>
          </w:tcPr>
          <w:p>
            <w:pPr>
              <w:pStyle w:val="4"/>
              <w:keepNext w:val="0"/>
              <w:keepLines w:val="0"/>
              <w:pageBreakBefore w:val="0"/>
              <w:widowControl w:val="0"/>
              <w:kinsoku/>
              <w:wordWrap w:val="0"/>
              <w:overflowPunct w:val="0"/>
              <w:topLinePunct/>
              <w:autoSpaceDE/>
              <w:autoSpaceDN/>
              <w:bidi w:val="0"/>
              <w:adjustRightInd w:val="0"/>
              <w:snapToGrid/>
              <w:spacing w:line="320" w:lineRule="exact"/>
              <w:ind w:left="113" w:right="79"/>
              <w:jc w:val="both"/>
              <w:textAlignment w:val="auto"/>
              <w:rPr>
                <w:rFonts w:hint="default" w:ascii="Times New Roman" w:hAnsi="Times New Roman" w:eastAsia="仿宋_GB2312" w:cs="Times New Roma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9" w:hRule="atLeast"/>
          <w:jc w:val="center"/>
        </w:trPr>
        <w:tc>
          <w:tcPr>
            <w:tcW w:w="1550" w:type="dxa"/>
            <w:vMerge w:val="continue"/>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352" w:right="338"/>
              <w:jc w:val="center"/>
              <w:textAlignment w:val="auto"/>
              <w:rPr>
                <w:rFonts w:hint="default" w:ascii="Times New Roman" w:hAnsi="Times New Roman" w:eastAsia="仿宋_GB2312" w:cs="Times New Roman"/>
              </w:rPr>
            </w:pPr>
          </w:p>
        </w:tc>
        <w:tc>
          <w:tcPr>
            <w:tcW w:w="2693"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20" w:lineRule="exact"/>
              <w:ind w:left="110" w:right="92"/>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4.工业互联网平台数量（个）</w:t>
            </w:r>
          </w:p>
        </w:tc>
        <w:tc>
          <w:tcPr>
            <w:tcW w:w="4961"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20" w:lineRule="exact"/>
              <w:ind w:left="113" w:right="79"/>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示范基地历年已获批的省级及以上工业互联网平台数量。</w:t>
            </w:r>
          </w:p>
        </w:tc>
        <w:tc>
          <w:tcPr>
            <w:tcW w:w="2156" w:type="dxa"/>
          </w:tcPr>
          <w:p>
            <w:pPr>
              <w:pStyle w:val="4"/>
              <w:keepNext w:val="0"/>
              <w:keepLines w:val="0"/>
              <w:pageBreakBefore w:val="0"/>
              <w:widowControl w:val="0"/>
              <w:kinsoku/>
              <w:wordWrap w:val="0"/>
              <w:overflowPunct w:val="0"/>
              <w:topLinePunct/>
              <w:autoSpaceDE/>
              <w:autoSpaceDN/>
              <w:bidi w:val="0"/>
              <w:adjustRightInd w:val="0"/>
              <w:snapToGrid/>
              <w:spacing w:line="320" w:lineRule="exact"/>
              <w:ind w:left="113" w:right="79"/>
              <w:jc w:val="both"/>
              <w:textAlignment w:val="auto"/>
              <w:rPr>
                <w:rFonts w:hint="default" w:ascii="Times New Roman" w:hAnsi="Times New Roman" w:eastAsia="仿宋_GB2312" w:cs="Times New Roman"/>
              </w:rPr>
            </w:pPr>
          </w:p>
        </w:tc>
        <w:tc>
          <w:tcPr>
            <w:tcW w:w="2238" w:type="dxa"/>
          </w:tcPr>
          <w:p>
            <w:pPr>
              <w:pStyle w:val="4"/>
              <w:keepNext w:val="0"/>
              <w:keepLines w:val="0"/>
              <w:pageBreakBefore w:val="0"/>
              <w:widowControl w:val="0"/>
              <w:kinsoku/>
              <w:wordWrap w:val="0"/>
              <w:overflowPunct w:val="0"/>
              <w:topLinePunct/>
              <w:autoSpaceDE/>
              <w:autoSpaceDN/>
              <w:bidi w:val="0"/>
              <w:adjustRightInd w:val="0"/>
              <w:snapToGrid/>
              <w:spacing w:line="320" w:lineRule="exact"/>
              <w:ind w:left="113" w:right="79"/>
              <w:jc w:val="both"/>
              <w:textAlignment w:val="auto"/>
              <w:rPr>
                <w:rFonts w:hint="default" w:ascii="Times New Roman" w:hAnsi="Times New Roman" w:eastAsia="仿宋_GB2312" w:cs="Times New Roma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15" w:hRule="atLeast"/>
          <w:jc w:val="center"/>
        </w:trPr>
        <w:tc>
          <w:tcPr>
            <w:tcW w:w="1550" w:type="dxa"/>
            <w:vMerge w:val="continue"/>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352" w:right="338"/>
              <w:jc w:val="center"/>
              <w:textAlignment w:val="auto"/>
              <w:rPr>
                <w:rFonts w:hint="default" w:ascii="Times New Roman" w:hAnsi="Times New Roman" w:eastAsia="仿宋_GB2312" w:cs="Times New Roman"/>
              </w:rPr>
            </w:pPr>
          </w:p>
        </w:tc>
        <w:tc>
          <w:tcPr>
            <w:tcW w:w="2693"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20" w:lineRule="exact"/>
              <w:ind w:left="110" w:right="92"/>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5.省级制造业“三化”重点项目数量（个）</w:t>
            </w:r>
          </w:p>
        </w:tc>
        <w:tc>
          <w:tcPr>
            <w:tcW w:w="4961"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20" w:lineRule="exact"/>
              <w:ind w:left="113" w:right="79"/>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示范基地历年入选湖南省制造业数字化转型“三化”重点项目数量。</w:t>
            </w:r>
          </w:p>
        </w:tc>
        <w:tc>
          <w:tcPr>
            <w:tcW w:w="2156" w:type="dxa"/>
          </w:tcPr>
          <w:p>
            <w:pPr>
              <w:pStyle w:val="4"/>
              <w:keepNext w:val="0"/>
              <w:keepLines w:val="0"/>
              <w:pageBreakBefore w:val="0"/>
              <w:widowControl w:val="0"/>
              <w:kinsoku/>
              <w:wordWrap w:val="0"/>
              <w:overflowPunct w:val="0"/>
              <w:topLinePunct/>
              <w:autoSpaceDE/>
              <w:autoSpaceDN/>
              <w:bidi w:val="0"/>
              <w:adjustRightInd w:val="0"/>
              <w:snapToGrid/>
              <w:spacing w:line="320" w:lineRule="exact"/>
              <w:ind w:left="113" w:right="79"/>
              <w:jc w:val="both"/>
              <w:textAlignment w:val="auto"/>
              <w:rPr>
                <w:rFonts w:hint="default" w:ascii="Times New Roman" w:hAnsi="Times New Roman" w:eastAsia="仿宋_GB2312" w:cs="Times New Roman"/>
              </w:rPr>
            </w:pPr>
          </w:p>
        </w:tc>
        <w:tc>
          <w:tcPr>
            <w:tcW w:w="2238" w:type="dxa"/>
          </w:tcPr>
          <w:p>
            <w:pPr>
              <w:pStyle w:val="4"/>
              <w:keepNext w:val="0"/>
              <w:keepLines w:val="0"/>
              <w:pageBreakBefore w:val="0"/>
              <w:widowControl w:val="0"/>
              <w:kinsoku/>
              <w:wordWrap w:val="0"/>
              <w:overflowPunct w:val="0"/>
              <w:topLinePunct/>
              <w:autoSpaceDE/>
              <w:autoSpaceDN/>
              <w:bidi w:val="0"/>
              <w:adjustRightInd w:val="0"/>
              <w:snapToGrid/>
              <w:spacing w:line="320" w:lineRule="exact"/>
              <w:ind w:left="113" w:right="79"/>
              <w:jc w:val="both"/>
              <w:textAlignment w:val="auto"/>
              <w:rPr>
                <w:rFonts w:hint="default" w:ascii="Times New Roman" w:hAnsi="Times New Roman" w:eastAsia="仿宋_GB2312" w:cs="Times New Roma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30" w:hRule="atLeast"/>
          <w:jc w:val="center"/>
        </w:trPr>
        <w:tc>
          <w:tcPr>
            <w:tcW w:w="1550" w:type="dxa"/>
            <w:vMerge w:val="continue"/>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352" w:right="338"/>
              <w:jc w:val="center"/>
              <w:textAlignment w:val="auto"/>
              <w:rPr>
                <w:rFonts w:hint="default" w:ascii="Times New Roman" w:hAnsi="Times New Roman" w:eastAsia="仿宋_GB2312" w:cs="Times New Roman"/>
              </w:rPr>
            </w:pPr>
          </w:p>
        </w:tc>
        <w:tc>
          <w:tcPr>
            <w:tcW w:w="2693"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20" w:lineRule="exact"/>
              <w:ind w:left="110" w:right="92"/>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6.“上云上平台”企业数量比重（％）</w:t>
            </w:r>
          </w:p>
        </w:tc>
        <w:tc>
          <w:tcPr>
            <w:tcW w:w="4961"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20" w:lineRule="exact"/>
              <w:ind w:left="113" w:right="79"/>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示范基地历年“上云上平台”企业数量与示范基地工业企业数量的比值。</w:t>
            </w:r>
          </w:p>
        </w:tc>
        <w:tc>
          <w:tcPr>
            <w:tcW w:w="2156" w:type="dxa"/>
          </w:tcPr>
          <w:p>
            <w:pPr>
              <w:pStyle w:val="4"/>
              <w:keepNext w:val="0"/>
              <w:keepLines w:val="0"/>
              <w:pageBreakBefore w:val="0"/>
              <w:widowControl w:val="0"/>
              <w:kinsoku/>
              <w:wordWrap w:val="0"/>
              <w:overflowPunct w:val="0"/>
              <w:topLinePunct/>
              <w:autoSpaceDE/>
              <w:autoSpaceDN/>
              <w:bidi w:val="0"/>
              <w:adjustRightInd w:val="0"/>
              <w:snapToGrid/>
              <w:spacing w:line="320" w:lineRule="exact"/>
              <w:ind w:left="113" w:right="79"/>
              <w:jc w:val="both"/>
              <w:textAlignment w:val="auto"/>
              <w:rPr>
                <w:rFonts w:hint="default" w:ascii="Times New Roman" w:hAnsi="Times New Roman" w:eastAsia="仿宋_GB2312" w:cs="Times New Roman"/>
              </w:rPr>
            </w:pPr>
          </w:p>
        </w:tc>
        <w:tc>
          <w:tcPr>
            <w:tcW w:w="2238" w:type="dxa"/>
          </w:tcPr>
          <w:p>
            <w:pPr>
              <w:pStyle w:val="4"/>
              <w:keepNext w:val="0"/>
              <w:keepLines w:val="0"/>
              <w:pageBreakBefore w:val="0"/>
              <w:widowControl w:val="0"/>
              <w:kinsoku/>
              <w:wordWrap w:val="0"/>
              <w:overflowPunct w:val="0"/>
              <w:topLinePunct/>
              <w:autoSpaceDE/>
              <w:autoSpaceDN/>
              <w:bidi w:val="0"/>
              <w:adjustRightInd w:val="0"/>
              <w:snapToGrid/>
              <w:spacing w:line="320" w:lineRule="exact"/>
              <w:ind w:left="113" w:right="79"/>
              <w:jc w:val="both"/>
              <w:textAlignment w:val="auto"/>
              <w:rPr>
                <w:rFonts w:hint="default" w:ascii="Times New Roman" w:hAnsi="Times New Roman" w:eastAsia="仿宋_GB2312" w:cs="Times New Roma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13" w:hRule="atLeast"/>
          <w:jc w:val="center"/>
        </w:trPr>
        <w:tc>
          <w:tcPr>
            <w:tcW w:w="1550" w:type="dxa"/>
            <w:vMerge w:val="restart"/>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发展环境</w:t>
            </w:r>
          </w:p>
        </w:tc>
        <w:tc>
          <w:tcPr>
            <w:tcW w:w="2693"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20" w:lineRule="exact"/>
              <w:ind w:left="110" w:right="92"/>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1.公共服务平台数量（个）</w:t>
            </w:r>
          </w:p>
        </w:tc>
        <w:tc>
          <w:tcPr>
            <w:tcW w:w="4961"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20" w:lineRule="exact"/>
              <w:ind w:left="113" w:right="79"/>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示范基地历年已获批的经相关政府部门认定的省级及以上公共服务平台数量。</w:t>
            </w:r>
          </w:p>
        </w:tc>
        <w:tc>
          <w:tcPr>
            <w:tcW w:w="2156" w:type="dxa"/>
          </w:tcPr>
          <w:p>
            <w:pPr>
              <w:pStyle w:val="4"/>
              <w:keepNext w:val="0"/>
              <w:keepLines w:val="0"/>
              <w:pageBreakBefore w:val="0"/>
              <w:widowControl w:val="0"/>
              <w:kinsoku/>
              <w:wordWrap w:val="0"/>
              <w:overflowPunct w:val="0"/>
              <w:topLinePunct/>
              <w:autoSpaceDE/>
              <w:autoSpaceDN/>
              <w:bidi w:val="0"/>
              <w:adjustRightInd w:val="0"/>
              <w:snapToGrid/>
              <w:spacing w:line="320" w:lineRule="exact"/>
              <w:ind w:left="113" w:right="79"/>
              <w:jc w:val="both"/>
              <w:textAlignment w:val="auto"/>
              <w:rPr>
                <w:rFonts w:hint="default" w:ascii="Times New Roman" w:hAnsi="Times New Roman" w:eastAsia="仿宋_GB2312" w:cs="Times New Roman"/>
              </w:rPr>
            </w:pPr>
          </w:p>
        </w:tc>
        <w:tc>
          <w:tcPr>
            <w:tcW w:w="2238" w:type="dxa"/>
          </w:tcPr>
          <w:p>
            <w:pPr>
              <w:pStyle w:val="4"/>
              <w:keepNext w:val="0"/>
              <w:keepLines w:val="0"/>
              <w:pageBreakBefore w:val="0"/>
              <w:widowControl w:val="0"/>
              <w:kinsoku/>
              <w:wordWrap w:val="0"/>
              <w:overflowPunct w:val="0"/>
              <w:topLinePunct/>
              <w:autoSpaceDE/>
              <w:autoSpaceDN/>
              <w:bidi w:val="0"/>
              <w:adjustRightInd w:val="0"/>
              <w:snapToGrid/>
              <w:spacing w:line="320" w:lineRule="exact"/>
              <w:ind w:left="113" w:right="79"/>
              <w:jc w:val="both"/>
              <w:textAlignment w:val="auto"/>
              <w:rPr>
                <w:rFonts w:hint="default" w:ascii="Times New Roman" w:hAnsi="Times New Roman" w:eastAsia="仿宋_GB2312" w:cs="Times New Roma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260" w:hRule="atLeast"/>
          <w:jc w:val="center"/>
        </w:trPr>
        <w:tc>
          <w:tcPr>
            <w:tcW w:w="1550" w:type="dxa"/>
            <w:vMerge w:val="continue"/>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352" w:right="338"/>
              <w:jc w:val="center"/>
              <w:textAlignment w:val="auto"/>
              <w:rPr>
                <w:rFonts w:hint="default" w:ascii="Times New Roman" w:hAnsi="Times New Roman" w:eastAsia="仿宋_GB2312" w:cs="Times New Roman"/>
              </w:rPr>
            </w:pPr>
          </w:p>
        </w:tc>
        <w:tc>
          <w:tcPr>
            <w:tcW w:w="2693"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20" w:lineRule="exact"/>
              <w:ind w:left="110" w:right="92"/>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2.高级职称人数占比（％）</w:t>
            </w:r>
          </w:p>
        </w:tc>
        <w:tc>
          <w:tcPr>
            <w:tcW w:w="4961"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20" w:lineRule="exact"/>
              <w:ind w:left="113" w:right="79"/>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示范基地规模以上工业企业评价年度期末具有高级职称的从业人员数量占示范基地规模以上工业企业评价年度期末从业人员数量的比重。</w:t>
            </w:r>
          </w:p>
        </w:tc>
        <w:tc>
          <w:tcPr>
            <w:tcW w:w="2156" w:type="dxa"/>
          </w:tcPr>
          <w:p>
            <w:pPr>
              <w:pStyle w:val="4"/>
              <w:keepNext w:val="0"/>
              <w:keepLines w:val="0"/>
              <w:pageBreakBefore w:val="0"/>
              <w:widowControl w:val="0"/>
              <w:kinsoku/>
              <w:wordWrap w:val="0"/>
              <w:overflowPunct w:val="0"/>
              <w:topLinePunct/>
              <w:autoSpaceDE/>
              <w:autoSpaceDN/>
              <w:bidi w:val="0"/>
              <w:adjustRightInd w:val="0"/>
              <w:snapToGrid/>
              <w:spacing w:line="320" w:lineRule="exact"/>
              <w:ind w:left="113" w:right="79"/>
              <w:jc w:val="both"/>
              <w:textAlignment w:val="auto"/>
              <w:rPr>
                <w:rFonts w:hint="default" w:ascii="Times New Roman" w:hAnsi="Times New Roman" w:eastAsia="仿宋_GB2312" w:cs="Times New Roman"/>
              </w:rPr>
            </w:pPr>
          </w:p>
        </w:tc>
        <w:tc>
          <w:tcPr>
            <w:tcW w:w="2238" w:type="dxa"/>
          </w:tcPr>
          <w:p>
            <w:pPr>
              <w:pStyle w:val="4"/>
              <w:keepNext w:val="0"/>
              <w:keepLines w:val="0"/>
              <w:pageBreakBefore w:val="0"/>
              <w:widowControl w:val="0"/>
              <w:kinsoku/>
              <w:wordWrap w:val="0"/>
              <w:overflowPunct w:val="0"/>
              <w:topLinePunct/>
              <w:autoSpaceDE/>
              <w:autoSpaceDN/>
              <w:bidi w:val="0"/>
              <w:adjustRightInd w:val="0"/>
              <w:snapToGrid/>
              <w:spacing w:line="320" w:lineRule="exact"/>
              <w:ind w:left="113" w:right="79"/>
              <w:jc w:val="both"/>
              <w:textAlignment w:val="auto"/>
              <w:rPr>
                <w:rFonts w:hint="default" w:ascii="Times New Roman" w:hAnsi="Times New Roman" w:eastAsia="仿宋_GB2312" w:cs="Times New Roma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085" w:hRule="atLeast"/>
          <w:jc w:val="center"/>
        </w:trPr>
        <w:tc>
          <w:tcPr>
            <w:tcW w:w="1550" w:type="dxa"/>
            <w:vMerge w:val="continue"/>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352" w:right="338"/>
              <w:jc w:val="center"/>
              <w:textAlignment w:val="auto"/>
              <w:rPr>
                <w:rFonts w:hint="default" w:ascii="Times New Roman" w:hAnsi="Times New Roman" w:eastAsia="仿宋_GB2312" w:cs="Times New Roman"/>
              </w:rPr>
            </w:pPr>
          </w:p>
        </w:tc>
        <w:tc>
          <w:tcPr>
            <w:tcW w:w="2693"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0" w:right="92"/>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3.本科以上学历人数占比（％）</w:t>
            </w:r>
          </w:p>
        </w:tc>
        <w:tc>
          <w:tcPr>
            <w:tcW w:w="4961" w:type="dxa"/>
            <w:vAlign w:val="center"/>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示范基地规模以上工业企业评价年度期末具有本科以上学历的从业人员数量占示范基地规模以上工业企业评价年度期末从业人员数量的比重。</w:t>
            </w:r>
          </w:p>
        </w:tc>
        <w:tc>
          <w:tcPr>
            <w:tcW w:w="2156"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p>
        </w:tc>
        <w:tc>
          <w:tcPr>
            <w:tcW w:w="2238" w:type="dxa"/>
          </w:tcPr>
          <w:p>
            <w:pPr>
              <w:pStyle w:val="4"/>
              <w:keepNext w:val="0"/>
              <w:keepLines w:val="0"/>
              <w:pageBreakBefore w:val="0"/>
              <w:widowControl w:val="0"/>
              <w:kinsoku/>
              <w:wordWrap w:val="0"/>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p>
        </w:tc>
      </w:tr>
    </w:tbl>
    <w:p>
      <w:pPr>
        <w:spacing w:line="580" w:lineRule="exact"/>
        <w:ind w:left="-2" w:leftChars="-1" w:firstLine="2"/>
        <w:rPr>
          <w:rFonts w:hint="default" w:ascii="Times New Roman" w:hAnsi="Times New Roman" w:eastAsia="黑体" w:cs="Times New Roman"/>
          <w:sz w:val="28"/>
          <w:szCs w:val="28"/>
        </w:rPr>
        <w:sectPr>
          <w:pgSz w:w="16838" w:h="11906" w:orient="landscape"/>
          <w:pgMar w:top="1797" w:right="1440" w:bottom="1797" w:left="1440" w:header="851" w:footer="992" w:gutter="0"/>
          <w:pgNumType w:fmt="numberInDash"/>
          <w:cols w:space="425" w:num="1"/>
          <w:docGrid w:linePitch="312" w:charSpace="0"/>
        </w:sect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文鼎CS仿宋体">
    <w:altName w:val="方正仿宋_GBK"/>
    <w:panose1 w:val="02010609010101010101"/>
    <w:charset w:val="86"/>
    <w:family w:val="modern"/>
    <w:pitch w:val="default"/>
    <w:sig w:usb0="00000000" w:usb1="00000000" w:usb2="00000010" w:usb3="00000000" w:csb0="0004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C77F6A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Table Paragraph"/>
    <w:basedOn w:val="1"/>
    <w:qFormat/>
    <w:uiPriority w:val="1"/>
    <w:pPr>
      <w:autoSpaceDE w:val="0"/>
      <w:autoSpaceDN w:val="0"/>
      <w:adjustRightInd w:val="0"/>
      <w:jc w:val="left"/>
    </w:pPr>
    <w:rPr>
      <w:rFonts w:ascii="宋体" w:hAnsi="Times New Roman"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海狼</cp:lastModifiedBy>
  <dcterms:modified xsi:type="dcterms:W3CDTF">2024-04-19T09:11:39Z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ies>
</file>