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eastAsia"/>
          <w:lang w:val="en-US" w:eastAsia="zh-CN"/>
        </w:rPr>
      </w:pPr>
      <w:r>
        <w:rPr>
          <w:rFonts w:ascii="Times New Roman" w:cs="Times New Roman"/>
        </w:rPr>
        <w:t>附件</w:t>
      </w:r>
      <w:r>
        <w:rPr>
          <w:rFonts w:hint="eastAsia" w:ascii="Times New Roman" w:cs="Times New Roman"/>
          <w:lang w:val="en-US" w:eastAsia="zh-CN"/>
        </w:rPr>
        <w:t>1</w:t>
      </w:r>
      <w:r>
        <w:rPr>
          <w:rFonts w:ascii="Times New Roman" w:cs="Times New Roman"/>
        </w:rPr>
        <w:t>：</w:t>
      </w:r>
      <w:r>
        <w:rPr>
          <w:rFonts w:hint="eastAsia" w:ascii="Times New Roman" w:cs="Times New Roman"/>
          <w:lang w:val="en-US" w:eastAsia="zh-CN"/>
        </w:rPr>
        <w:t>2024年苏州市公共文化配送费用及执行标准</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7"/>
        <w:gridCol w:w="804"/>
        <w:gridCol w:w="773"/>
        <w:gridCol w:w="6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2024年苏州市公共文化配送费用及执行标准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42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Style w:val="25"/>
                <w:lang w:val="en-US" w:eastAsia="zh-CN" w:bidi="ar"/>
              </w:rPr>
              <w:t>项目类型</w:t>
            </w:r>
          </w:p>
        </w:tc>
        <w:tc>
          <w:tcPr>
            <w:tcW w:w="47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Style w:val="25"/>
                <w:lang w:val="en-US" w:eastAsia="zh-CN" w:bidi="ar"/>
              </w:rPr>
            </w:pPr>
            <w:r>
              <w:rPr>
                <w:rStyle w:val="25"/>
                <w:lang w:val="en-US" w:eastAsia="zh-CN" w:bidi="ar"/>
              </w:rPr>
              <w:t>分类</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Style w:val="25"/>
                <w:lang w:val="en-US" w:eastAsia="zh-CN" w:bidi="ar"/>
              </w:rPr>
              <w:t>级别</w:t>
            </w:r>
          </w:p>
        </w:tc>
        <w:tc>
          <w:tcPr>
            <w:tcW w:w="45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Style w:val="25"/>
                <w:lang w:val="en-US" w:eastAsia="zh-CN" w:bidi="ar"/>
              </w:rPr>
              <w:t>单场费用</w:t>
            </w:r>
          </w:p>
        </w:tc>
        <w:tc>
          <w:tcPr>
            <w:tcW w:w="3647"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文艺演出</w:t>
            </w: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A类</w:t>
            </w:r>
          </w:p>
        </w:tc>
        <w:tc>
          <w:tcPr>
            <w:tcW w:w="45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20000</w:t>
            </w:r>
          </w:p>
        </w:tc>
        <w:tc>
          <w:tcPr>
            <w:tcW w:w="3647" w:type="pc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1.申报的演出剧（节目），须有3场以上公演记录。原创新编剧（节目），须有著作权人身份证明或授权文书，无著作权纠纷。剧（节目）内容无违法查处记录。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2.配合党和国家重大政治活动、全市性重要宣传演出活动、全民节日欢庆活动新编排或复排的剧（节目），并有专业艺术、群文正高级职称演职人员参与。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3.观众</w:t>
            </w:r>
            <w:r>
              <w:rPr>
                <w:rStyle w:val="26"/>
                <w:rFonts w:hint="eastAsia"/>
                <w:lang w:val="en-US" w:eastAsia="zh-CN" w:bidi="ar"/>
              </w:rPr>
              <w:t>参与率</w:t>
            </w:r>
            <w:r>
              <w:rPr>
                <w:rStyle w:val="26"/>
                <w:lang w:val="en-US" w:eastAsia="zh-CN" w:bidi="ar"/>
              </w:rPr>
              <w:t>以500人为基准。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4.每场演出时间不少于2小时，其中综艺演出节目不少于8个。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5.演员全部彩妆出演，并配有伴奏。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B类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1.以地方戏曲、民族、民间、民俗文艺表演节目为主。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2.观众</w:t>
            </w:r>
            <w:r>
              <w:rPr>
                <w:rStyle w:val="26"/>
                <w:rFonts w:hint="eastAsia"/>
                <w:lang w:val="en-US" w:eastAsia="zh-CN" w:bidi="ar"/>
              </w:rPr>
              <w:t>参与率</w:t>
            </w:r>
            <w:r>
              <w:rPr>
                <w:rStyle w:val="26"/>
                <w:lang w:val="en-US" w:eastAsia="zh-CN" w:bidi="ar"/>
              </w:rPr>
              <w:t>以300人为基准。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3.每场演出时间不少于1.5小时，其中综艺演出节目不少于6个。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4.演员全部彩妆出演，并配有伴奏。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C类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1.以评弹、折子戏、小品、歌舞类中小型剧（节目）、民间绝活、民间杂耍以及可供表演的非遗项目为主。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2.观众</w:t>
            </w:r>
            <w:r>
              <w:rPr>
                <w:rStyle w:val="26"/>
                <w:rFonts w:hint="eastAsia"/>
                <w:lang w:val="en-US" w:eastAsia="zh-CN" w:bidi="ar"/>
              </w:rPr>
              <w:t>参与率</w:t>
            </w:r>
            <w:r>
              <w:rPr>
                <w:rStyle w:val="26"/>
                <w:lang w:val="en-US" w:eastAsia="zh-CN" w:bidi="ar"/>
              </w:rPr>
              <w:t>以150人为基准。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3.每场演出时长不少于1小时。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4.演员彩妆出演，并配有伴奏。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讲座导赏</w:t>
            </w: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A类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1.适用于报告厅、多功能室等场地。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2.每场活动不少于1.5小时。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主讲人须具备相关专业副高及以上职称或在本专业领域具有一定影响力、具有良好的演讲才能和丰富的讲座授课经验。配合导赏主讲的助理、助教、演员等，须具备相应的专业演示能力，有公共文化服务演出经历及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4.导赏类活动主讲人讲授与现场示范或表演等直观形式相结合。除主讲人外，须另行配备专业演员配合讲演内容进行彩妆表演，体现展示形式的丰富性。“讲”“演”的编排比例，一般以1:1为宜。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5.观众</w:t>
            </w:r>
            <w:r>
              <w:rPr>
                <w:rStyle w:val="26"/>
                <w:rFonts w:hint="eastAsia"/>
                <w:lang w:val="en-US" w:eastAsia="zh-CN" w:bidi="ar"/>
              </w:rPr>
              <w:t>参与率</w:t>
            </w:r>
            <w:r>
              <w:rPr>
                <w:rStyle w:val="26"/>
                <w:lang w:val="en-US" w:eastAsia="zh-CN" w:bidi="ar"/>
              </w:rPr>
              <w:t>以</w:t>
            </w:r>
            <w:r>
              <w:rPr>
                <w:rStyle w:val="26"/>
                <w:rFonts w:hint="eastAsia"/>
                <w:lang w:val="en-US" w:eastAsia="zh-CN" w:bidi="ar"/>
              </w:rPr>
              <w:t>100</w:t>
            </w:r>
            <w:r>
              <w:rPr>
                <w:rStyle w:val="26"/>
                <w:lang w:val="en-US" w:eastAsia="zh-CN" w:bidi="ar"/>
              </w:rPr>
              <w:t>人为基准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B类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1.适用于多功能室等场地。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2.每场活动不少于1.5小时。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3.主讲人须在本专业领域具有一定影响力、具有良好的演讲才能和丰富的讲座授课经验。配合导赏主讲的助理、助教、演员等，须具备相应的专业演示能力。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sz w:val="24"/>
                <w:szCs w:val="24"/>
                <w:u w:val="none"/>
                <w:lang w:val="en-US" w:eastAsia="zh-CN"/>
              </w:rPr>
              <w:t>4.观众参与率以80人为基准。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文旅融合</w:t>
            </w: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A类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1.主题明确、线路清晰。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2.游、学结合，突出文旅融合。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3.活动时长为1天。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4.费用包含门票、保险费用、用车费用以及用餐等一切费用。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5.</w:t>
            </w:r>
            <w:r>
              <w:rPr>
                <w:rStyle w:val="26"/>
                <w:rFonts w:hint="eastAsia"/>
                <w:lang w:val="en-US" w:eastAsia="zh-CN" w:bidi="ar"/>
              </w:rPr>
              <w:t>居民参与率以</w:t>
            </w:r>
            <w:r>
              <w:rPr>
                <w:rStyle w:val="26"/>
                <w:lang w:val="en-US" w:eastAsia="zh-CN" w:bidi="ar"/>
              </w:rPr>
              <w:t>30人</w:t>
            </w:r>
            <w:r>
              <w:rPr>
                <w:rStyle w:val="26"/>
                <w:rFonts w:hint="eastAsia"/>
                <w:lang w:val="en-US" w:eastAsia="zh-CN" w:bidi="ar"/>
              </w:rPr>
              <w:t>为基准</w:t>
            </w:r>
            <w:r>
              <w:rPr>
                <w:rStyle w:val="2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特色活动</w:t>
            </w: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A类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1.适用于基层综合文化活动室等小型场地。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2.每场活动时间不少于1.5小时。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w:t>
            </w:r>
            <w:r>
              <w:rPr>
                <w:rStyle w:val="26"/>
                <w:rFonts w:hint="eastAsia"/>
                <w:lang w:val="en-US" w:eastAsia="zh-CN" w:bidi="ar"/>
              </w:rPr>
              <w:t>居民参与率以</w:t>
            </w:r>
            <w:r>
              <w:rPr>
                <w:rStyle w:val="26"/>
                <w:lang w:val="en-US" w:eastAsia="zh-CN" w:bidi="ar"/>
              </w:rPr>
              <w:t>30人</w:t>
            </w:r>
            <w:r>
              <w:rPr>
                <w:rStyle w:val="26"/>
                <w:rFonts w:hint="eastAsia"/>
                <w:lang w:val="en-US" w:eastAsia="zh-CN" w:bidi="ar"/>
              </w:rPr>
              <w:t>为基准</w:t>
            </w:r>
            <w:r>
              <w:rPr>
                <w:rStyle w:val="2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4.活动主导及辅助人员，应具有相关专业能力与活动组织能力。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5.活动费用包含所需要的物资和材料等所有费用。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展览展示</w:t>
            </w: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A类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1.适用于社区文化活动中心或其他开阔区域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2.展出时间不少于7天（不包含布、撤展）。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3.展品数量不少于50件，并能提供展览所需的展架等必要设备。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4.展览形式以展示为主，同时必须结合展览策划一场相关的宣教讲解活动。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Style w:val="26"/>
                <w:lang w:val="en-US" w:eastAsia="zh-CN" w:bidi="ar"/>
              </w:rPr>
              <w:t>B类</w:t>
            </w:r>
          </w:p>
        </w:tc>
        <w:tc>
          <w:tcPr>
            <w:tcW w:w="453"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w:t>
            </w: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1.适用于社区文化活动中心或其他开阔区域。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2.展出时间不少于3天（不包含布、撤展）。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26" w:type="pct"/>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71"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453"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iCs w:val="0"/>
                <w:color w:val="000000"/>
                <w:sz w:val="24"/>
                <w:szCs w:val="24"/>
                <w:u w:val="none"/>
              </w:rPr>
            </w:pPr>
          </w:p>
        </w:tc>
        <w:tc>
          <w:tcPr>
            <w:tcW w:w="3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Style w:val="26"/>
                <w:lang w:val="en-US" w:eastAsia="zh-CN" w:bidi="ar"/>
              </w:rPr>
              <w:t>3.展品或展板数量不少于30件并能提供展览所需的展架等必要设备。</w:t>
            </w:r>
          </w:p>
        </w:tc>
      </w:tr>
    </w:tbl>
    <w:p>
      <w:pPr>
        <w:rPr>
          <w:rFonts w:ascii="Times New Roman" w:hAnsi="Times New Roman" w:cs="Times New Roman"/>
        </w:rPr>
      </w:pPr>
    </w:p>
    <w:p>
      <w:pPr>
        <w:pStyle w:val="17"/>
        <w:snapToGrid w:val="0"/>
        <w:spacing w:line="336" w:lineRule="auto"/>
        <w:ind w:firstLine="640" w:firstLineChars="200"/>
        <w:rPr>
          <w:rFonts w:ascii="Times New Roman" w:hAnsi="Times New Roman" w:eastAsia="仿宋_GB2312" w:cs="Times New Roman"/>
          <w:sz w:val="32"/>
          <w:szCs w:val="32"/>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FZXiaoBiaoSong-B05S">
    <w:altName w:val="宋体"/>
    <w:panose1 w:val="00000000000000000000"/>
    <w:charset w:val="86"/>
    <w:family w:val="swiss"/>
    <w:pitch w:val="default"/>
    <w:sig w:usb0="00000000" w:usb1="00000000" w:usb2="00000010" w:usb3="00000000" w:csb0="00040000" w:csb1="00000000"/>
  </w:font>
  <w:font w:name="Noto Sans CJK JP Regular">
    <w:altName w:val="Calibri"/>
    <w:panose1 w:val="00000000000000000000"/>
    <w:charset w:val="00"/>
    <w:family w:val="swiss"/>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楷体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DE4EB6"/>
    <w:rsid w:val="0000048A"/>
    <w:rsid w:val="000279E2"/>
    <w:rsid w:val="00033707"/>
    <w:rsid w:val="00057145"/>
    <w:rsid w:val="00076C02"/>
    <w:rsid w:val="000B4F91"/>
    <w:rsid w:val="00106B6C"/>
    <w:rsid w:val="001113E1"/>
    <w:rsid w:val="00153B98"/>
    <w:rsid w:val="00156B1A"/>
    <w:rsid w:val="00182973"/>
    <w:rsid w:val="001A48A0"/>
    <w:rsid w:val="001A55A5"/>
    <w:rsid w:val="001A7F14"/>
    <w:rsid w:val="001B38F6"/>
    <w:rsid w:val="001B63A4"/>
    <w:rsid w:val="001C2D07"/>
    <w:rsid w:val="00273316"/>
    <w:rsid w:val="002821A0"/>
    <w:rsid w:val="002D38DE"/>
    <w:rsid w:val="002D5963"/>
    <w:rsid w:val="002E26AB"/>
    <w:rsid w:val="002F5358"/>
    <w:rsid w:val="00302E00"/>
    <w:rsid w:val="00305C05"/>
    <w:rsid w:val="00307E3D"/>
    <w:rsid w:val="00320777"/>
    <w:rsid w:val="00345CB1"/>
    <w:rsid w:val="003510A1"/>
    <w:rsid w:val="003517C3"/>
    <w:rsid w:val="003528A1"/>
    <w:rsid w:val="00376EF0"/>
    <w:rsid w:val="00386BFD"/>
    <w:rsid w:val="003D137A"/>
    <w:rsid w:val="003D68EB"/>
    <w:rsid w:val="003E3372"/>
    <w:rsid w:val="00435345"/>
    <w:rsid w:val="004429DE"/>
    <w:rsid w:val="00446FD2"/>
    <w:rsid w:val="00461D36"/>
    <w:rsid w:val="004A5B6C"/>
    <w:rsid w:val="004F70C7"/>
    <w:rsid w:val="005038DA"/>
    <w:rsid w:val="00504417"/>
    <w:rsid w:val="005227AD"/>
    <w:rsid w:val="00582501"/>
    <w:rsid w:val="00583550"/>
    <w:rsid w:val="00585AF8"/>
    <w:rsid w:val="00592CA0"/>
    <w:rsid w:val="005A6133"/>
    <w:rsid w:val="005B5A65"/>
    <w:rsid w:val="005C1316"/>
    <w:rsid w:val="00600587"/>
    <w:rsid w:val="00601538"/>
    <w:rsid w:val="0060238D"/>
    <w:rsid w:val="00602C13"/>
    <w:rsid w:val="006100D6"/>
    <w:rsid w:val="00622849"/>
    <w:rsid w:val="006228CD"/>
    <w:rsid w:val="006233AE"/>
    <w:rsid w:val="00665E15"/>
    <w:rsid w:val="00666A1B"/>
    <w:rsid w:val="006765C1"/>
    <w:rsid w:val="00677C12"/>
    <w:rsid w:val="0068169D"/>
    <w:rsid w:val="00687FDA"/>
    <w:rsid w:val="006A4EA1"/>
    <w:rsid w:val="006C20E1"/>
    <w:rsid w:val="006C5654"/>
    <w:rsid w:val="006E167F"/>
    <w:rsid w:val="006E773B"/>
    <w:rsid w:val="006F27D5"/>
    <w:rsid w:val="007241A1"/>
    <w:rsid w:val="00746C61"/>
    <w:rsid w:val="0075411E"/>
    <w:rsid w:val="00762242"/>
    <w:rsid w:val="007628CC"/>
    <w:rsid w:val="007707D7"/>
    <w:rsid w:val="00774054"/>
    <w:rsid w:val="007770DD"/>
    <w:rsid w:val="007815CA"/>
    <w:rsid w:val="007B7712"/>
    <w:rsid w:val="007F7181"/>
    <w:rsid w:val="007F7501"/>
    <w:rsid w:val="008141B0"/>
    <w:rsid w:val="00831A09"/>
    <w:rsid w:val="008452D4"/>
    <w:rsid w:val="0084638B"/>
    <w:rsid w:val="00850C2C"/>
    <w:rsid w:val="00863753"/>
    <w:rsid w:val="008664E3"/>
    <w:rsid w:val="00876322"/>
    <w:rsid w:val="008804D0"/>
    <w:rsid w:val="008A1E80"/>
    <w:rsid w:val="008D3AC7"/>
    <w:rsid w:val="008E66D8"/>
    <w:rsid w:val="008E67EE"/>
    <w:rsid w:val="00931E7E"/>
    <w:rsid w:val="00932581"/>
    <w:rsid w:val="00946183"/>
    <w:rsid w:val="0096067E"/>
    <w:rsid w:val="00965478"/>
    <w:rsid w:val="0098434D"/>
    <w:rsid w:val="009D183F"/>
    <w:rsid w:val="009D2044"/>
    <w:rsid w:val="009D612B"/>
    <w:rsid w:val="009F077F"/>
    <w:rsid w:val="009F221C"/>
    <w:rsid w:val="009F61BD"/>
    <w:rsid w:val="00A033E9"/>
    <w:rsid w:val="00A12A92"/>
    <w:rsid w:val="00A16F81"/>
    <w:rsid w:val="00A27BA1"/>
    <w:rsid w:val="00A55B51"/>
    <w:rsid w:val="00AC295C"/>
    <w:rsid w:val="00AC3B77"/>
    <w:rsid w:val="00AE3BDC"/>
    <w:rsid w:val="00AF78CD"/>
    <w:rsid w:val="00B0136D"/>
    <w:rsid w:val="00B17ACF"/>
    <w:rsid w:val="00B47B18"/>
    <w:rsid w:val="00B840D8"/>
    <w:rsid w:val="00B94B2C"/>
    <w:rsid w:val="00B9730A"/>
    <w:rsid w:val="00BB08E6"/>
    <w:rsid w:val="00BB36CA"/>
    <w:rsid w:val="00BC5AB2"/>
    <w:rsid w:val="00BF1E17"/>
    <w:rsid w:val="00C0466E"/>
    <w:rsid w:val="00C1411B"/>
    <w:rsid w:val="00C42848"/>
    <w:rsid w:val="00C55E30"/>
    <w:rsid w:val="00C70371"/>
    <w:rsid w:val="00C839BF"/>
    <w:rsid w:val="00CB0417"/>
    <w:rsid w:val="00CC256E"/>
    <w:rsid w:val="00CE7544"/>
    <w:rsid w:val="00D04472"/>
    <w:rsid w:val="00D2108C"/>
    <w:rsid w:val="00D36293"/>
    <w:rsid w:val="00D75CED"/>
    <w:rsid w:val="00DB7C4F"/>
    <w:rsid w:val="00DD15FE"/>
    <w:rsid w:val="00DD6A5C"/>
    <w:rsid w:val="00DE4EB6"/>
    <w:rsid w:val="00DF7A6D"/>
    <w:rsid w:val="00E040F4"/>
    <w:rsid w:val="00E54BD6"/>
    <w:rsid w:val="00E558C3"/>
    <w:rsid w:val="00E65821"/>
    <w:rsid w:val="00E8650B"/>
    <w:rsid w:val="00EB2792"/>
    <w:rsid w:val="00EE51FF"/>
    <w:rsid w:val="00F15063"/>
    <w:rsid w:val="00F409DC"/>
    <w:rsid w:val="00F46B15"/>
    <w:rsid w:val="00F63771"/>
    <w:rsid w:val="00F81001"/>
    <w:rsid w:val="00F81054"/>
    <w:rsid w:val="00F81CB6"/>
    <w:rsid w:val="00F85896"/>
    <w:rsid w:val="00FD36F9"/>
    <w:rsid w:val="00FE2325"/>
    <w:rsid w:val="00FE2B04"/>
    <w:rsid w:val="00FE4922"/>
    <w:rsid w:val="18A15E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640" w:firstLineChars="200"/>
      <w:jc w:val="both"/>
    </w:pPr>
    <w:rPr>
      <w:rFonts w:ascii="方正仿宋_GBK" w:hAnsi="方正仿宋_GBK" w:eastAsia="方正仿宋_GBK" w:cstheme="minorBidi"/>
      <w:kern w:val="2"/>
      <w:sz w:val="32"/>
      <w:szCs w:val="32"/>
      <w:lang w:val="en-US" w:eastAsia="zh-CN" w:bidi="ar-SA"/>
    </w:rPr>
  </w:style>
  <w:style w:type="paragraph" w:styleId="2">
    <w:name w:val="heading 1"/>
    <w:basedOn w:val="1"/>
    <w:next w:val="1"/>
    <w:link w:val="15"/>
    <w:qFormat/>
    <w:uiPriority w:val="0"/>
    <w:pPr>
      <w:keepNext/>
      <w:keepLines/>
      <w:spacing w:before="120" w:after="120"/>
      <w:ind w:firstLine="643"/>
      <w:jc w:val="left"/>
      <w:outlineLvl w:val="0"/>
    </w:pPr>
    <w:rPr>
      <w:rFonts w:ascii="方正黑体_GBK" w:hAnsi="方正黑体_GBK" w:eastAsia="方正黑体_GBK"/>
      <w:b/>
      <w:bCs/>
      <w:kern w:val="44"/>
    </w:rPr>
  </w:style>
  <w:style w:type="paragraph" w:styleId="3">
    <w:name w:val="heading 2"/>
    <w:basedOn w:val="1"/>
    <w:next w:val="1"/>
    <w:link w:val="16"/>
    <w:autoRedefine/>
    <w:unhideWhenUsed/>
    <w:qFormat/>
    <w:uiPriority w:val="0"/>
    <w:pPr>
      <w:keepNext/>
      <w:keepLines/>
      <w:spacing w:before="120" w:after="120"/>
      <w:ind w:firstLine="643"/>
      <w:jc w:val="left"/>
      <w:outlineLvl w:val="1"/>
    </w:pPr>
    <w:rPr>
      <w:rFonts w:ascii="方正楷体_GBK" w:hAnsi="方正楷体_GBK" w:eastAsia="方正楷体_GBK"/>
      <w:b/>
      <w:bCs/>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3"/>
    <w:autoRedefine/>
    <w:semiHidden/>
    <w:unhideWhenUsed/>
    <w:qFormat/>
    <w:uiPriority w:val="99"/>
    <w:pPr>
      <w:jc w:val="left"/>
    </w:pPr>
  </w:style>
  <w:style w:type="paragraph" w:styleId="5">
    <w:name w:val="Body Text"/>
    <w:basedOn w:val="1"/>
    <w:link w:val="18"/>
    <w:autoRedefine/>
    <w:qFormat/>
    <w:uiPriority w:val="1"/>
    <w:pPr>
      <w:autoSpaceDE w:val="0"/>
      <w:autoSpaceDN w:val="0"/>
      <w:ind w:left="723"/>
      <w:jc w:val="left"/>
    </w:pPr>
    <w:rPr>
      <w:rFonts w:ascii="Noto Sans CJK JP Regular" w:hAnsi="Noto Sans CJK JP Regular" w:eastAsia="Noto Sans CJK JP Regular" w:cs="Noto Sans CJK JP Regular"/>
      <w:kern w:val="0"/>
      <w:sz w:val="30"/>
      <w:szCs w:val="30"/>
      <w:lang w:val="zh-CN" w:bidi="zh-CN"/>
    </w:rPr>
  </w:style>
  <w:style w:type="paragraph" w:styleId="6">
    <w:name w:val="Balloon Text"/>
    <w:basedOn w:val="1"/>
    <w:link w:val="21"/>
    <w:autoRedefine/>
    <w:semiHidden/>
    <w:unhideWhenUsed/>
    <w:qFormat/>
    <w:uiPriority w:val="99"/>
    <w:rPr>
      <w:sz w:val="18"/>
      <w:szCs w:val="18"/>
    </w:rPr>
  </w:style>
  <w:style w:type="paragraph" w:styleId="7">
    <w:name w:val="footer"/>
    <w:basedOn w:val="1"/>
    <w:link w:val="20"/>
    <w:autoRedefine/>
    <w:unhideWhenUsed/>
    <w:qFormat/>
    <w:uiPriority w:val="99"/>
    <w:pPr>
      <w:tabs>
        <w:tab w:val="center" w:pos="4153"/>
        <w:tab w:val="right" w:pos="8306"/>
      </w:tabs>
      <w:jc w:val="left"/>
    </w:pPr>
    <w:rPr>
      <w:sz w:val="18"/>
      <w:szCs w:val="18"/>
    </w:rPr>
  </w:style>
  <w:style w:type="paragraph" w:styleId="8">
    <w:name w:val="header"/>
    <w:basedOn w:val="1"/>
    <w:link w:val="19"/>
    <w:autoRedefine/>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szCs w:val="24"/>
    </w:rPr>
  </w:style>
  <w:style w:type="paragraph" w:styleId="10">
    <w:name w:val="annotation subject"/>
    <w:basedOn w:val="4"/>
    <w:next w:val="4"/>
    <w:link w:val="24"/>
    <w:autoRedefine/>
    <w:semiHidden/>
    <w:unhideWhenUsed/>
    <w:qFormat/>
    <w:uiPriority w:val="99"/>
    <w:rPr>
      <w:b/>
      <w:bCs/>
    </w:rPr>
  </w:style>
  <w:style w:type="character" w:styleId="13">
    <w:name w:val="Hyperlink"/>
    <w:basedOn w:val="12"/>
    <w:autoRedefine/>
    <w:unhideWhenUsed/>
    <w:qFormat/>
    <w:uiPriority w:val="99"/>
    <w:rPr>
      <w:color w:val="0563C1" w:themeColor="hyperlink"/>
      <w:u w:val="single"/>
      <w14:textFill>
        <w14:solidFill>
          <w14:schemeClr w14:val="hlink"/>
        </w14:solidFill>
      </w14:textFill>
    </w:rPr>
  </w:style>
  <w:style w:type="character" w:styleId="14">
    <w:name w:val="annotation reference"/>
    <w:basedOn w:val="12"/>
    <w:autoRedefine/>
    <w:semiHidden/>
    <w:unhideWhenUsed/>
    <w:qFormat/>
    <w:uiPriority w:val="99"/>
    <w:rPr>
      <w:sz w:val="21"/>
      <w:szCs w:val="21"/>
    </w:rPr>
  </w:style>
  <w:style w:type="character" w:customStyle="1" w:styleId="15">
    <w:name w:val="标题 1 字符"/>
    <w:basedOn w:val="12"/>
    <w:link w:val="2"/>
    <w:autoRedefine/>
    <w:qFormat/>
    <w:uiPriority w:val="0"/>
    <w:rPr>
      <w:rFonts w:ascii="方正黑体_GBK" w:hAnsi="方正黑体_GBK" w:eastAsia="方正黑体_GBK"/>
      <w:b/>
      <w:bCs/>
      <w:kern w:val="44"/>
      <w:sz w:val="32"/>
      <w:szCs w:val="32"/>
    </w:rPr>
  </w:style>
  <w:style w:type="character" w:customStyle="1" w:styleId="16">
    <w:name w:val="标题 2 字符"/>
    <w:basedOn w:val="12"/>
    <w:link w:val="3"/>
    <w:autoRedefine/>
    <w:qFormat/>
    <w:uiPriority w:val="0"/>
    <w:rPr>
      <w:rFonts w:ascii="方正楷体_GBK" w:hAnsi="方正楷体_GBK" w:eastAsia="方正楷体_GBK"/>
      <w:b/>
      <w:bCs/>
      <w:sz w:val="32"/>
      <w:szCs w:val="32"/>
    </w:rPr>
  </w:style>
  <w:style w:type="paragraph" w:customStyle="1" w:styleId="17">
    <w:name w:val="Default"/>
    <w:autoRedefine/>
    <w:qFormat/>
    <w:uiPriority w:val="0"/>
    <w:pPr>
      <w:widowControl w:val="0"/>
      <w:autoSpaceDE w:val="0"/>
      <w:autoSpaceDN w:val="0"/>
      <w:adjustRightInd w:val="0"/>
    </w:pPr>
    <w:rPr>
      <w:rFonts w:ascii="FZXiaoBiaoSong-B05S" w:eastAsia="FZXiaoBiaoSong-B05S" w:cs="FZXiaoBiaoSong-B05S" w:hAnsiTheme="minorHAnsi"/>
      <w:color w:val="000000"/>
      <w:kern w:val="0"/>
      <w:sz w:val="24"/>
      <w:szCs w:val="24"/>
      <w:lang w:val="en-US" w:eastAsia="zh-CN" w:bidi="ar-SA"/>
    </w:rPr>
  </w:style>
  <w:style w:type="character" w:customStyle="1" w:styleId="18">
    <w:name w:val="正文文本 字符"/>
    <w:basedOn w:val="12"/>
    <w:link w:val="5"/>
    <w:autoRedefine/>
    <w:qFormat/>
    <w:uiPriority w:val="1"/>
    <w:rPr>
      <w:rFonts w:ascii="Noto Sans CJK JP Regular" w:hAnsi="Noto Sans CJK JP Regular" w:eastAsia="Noto Sans CJK JP Regular" w:cs="Noto Sans CJK JP Regular"/>
      <w:kern w:val="0"/>
      <w:sz w:val="30"/>
      <w:szCs w:val="30"/>
      <w:lang w:val="zh-CN" w:bidi="zh-CN"/>
    </w:rPr>
  </w:style>
  <w:style w:type="character" w:customStyle="1" w:styleId="19">
    <w:name w:val="页眉 字符"/>
    <w:basedOn w:val="12"/>
    <w:link w:val="8"/>
    <w:autoRedefine/>
    <w:qFormat/>
    <w:uiPriority w:val="99"/>
    <w:rPr>
      <w:sz w:val="18"/>
      <w:szCs w:val="18"/>
    </w:rPr>
  </w:style>
  <w:style w:type="character" w:customStyle="1" w:styleId="20">
    <w:name w:val="页脚 字符"/>
    <w:basedOn w:val="12"/>
    <w:link w:val="7"/>
    <w:autoRedefine/>
    <w:qFormat/>
    <w:uiPriority w:val="99"/>
    <w:rPr>
      <w:sz w:val="18"/>
      <w:szCs w:val="18"/>
    </w:rPr>
  </w:style>
  <w:style w:type="character" w:customStyle="1" w:styleId="21">
    <w:name w:val="批注框文本 字符"/>
    <w:basedOn w:val="12"/>
    <w:link w:val="6"/>
    <w:autoRedefine/>
    <w:semiHidden/>
    <w:qFormat/>
    <w:uiPriority w:val="99"/>
    <w:rPr>
      <w:sz w:val="18"/>
      <w:szCs w:val="18"/>
    </w:rPr>
  </w:style>
  <w:style w:type="character" w:customStyle="1" w:styleId="22">
    <w:name w:val="未处理的提及1"/>
    <w:basedOn w:val="12"/>
    <w:autoRedefine/>
    <w:semiHidden/>
    <w:unhideWhenUsed/>
    <w:qFormat/>
    <w:uiPriority w:val="99"/>
    <w:rPr>
      <w:color w:val="605E5C"/>
      <w:shd w:val="clear" w:color="auto" w:fill="E1DFDD"/>
    </w:rPr>
  </w:style>
  <w:style w:type="character" w:customStyle="1" w:styleId="23">
    <w:name w:val="批注文字 字符"/>
    <w:basedOn w:val="12"/>
    <w:link w:val="4"/>
    <w:autoRedefine/>
    <w:semiHidden/>
    <w:qFormat/>
    <w:uiPriority w:val="99"/>
    <w:rPr>
      <w:rFonts w:ascii="方正仿宋_GBK" w:hAnsi="方正仿宋_GBK" w:eastAsia="方正仿宋_GBK"/>
      <w:sz w:val="32"/>
      <w:szCs w:val="32"/>
    </w:rPr>
  </w:style>
  <w:style w:type="character" w:customStyle="1" w:styleId="24">
    <w:name w:val="批注主题 字符"/>
    <w:basedOn w:val="23"/>
    <w:link w:val="10"/>
    <w:autoRedefine/>
    <w:semiHidden/>
    <w:qFormat/>
    <w:uiPriority w:val="99"/>
    <w:rPr>
      <w:rFonts w:ascii="方正仿宋_GBK" w:hAnsi="方正仿宋_GBK" w:eastAsia="方正仿宋_GBK"/>
      <w:b/>
      <w:bCs/>
      <w:sz w:val="32"/>
      <w:szCs w:val="32"/>
    </w:rPr>
  </w:style>
  <w:style w:type="character" w:customStyle="1" w:styleId="25">
    <w:name w:val="font11"/>
    <w:basedOn w:val="12"/>
    <w:autoRedefine/>
    <w:qFormat/>
    <w:uiPriority w:val="0"/>
    <w:rPr>
      <w:rFonts w:hint="eastAsia" w:ascii="仿宋" w:hAnsi="仿宋" w:eastAsia="仿宋" w:cs="仿宋"/>
      <w:b/>
      <w:bCs/>
      <w:color w:val="000000"/>
      <w:sz w:val="24"/>
      <w:szCs w:val="24"/>
      <w:u w:val="none"/>
    </w:rPr>
  </w:style>
  <w:style w:type="character" w:customStyle="1" w:styleId="26">
    <w:name w:val="font21"/>
    <w:basedOn w:val="12"/>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266</Words>
  <Characters>1518</Characters>
  <Lines>12</Lines>
  <Paragraphs>3</Paragraphs>
  <TotalTime>0</TotalTime>
  <ScaleCrop>false</ScaleCrop>
  <LinksUpToDate>false</LinksUpToDate>
  <CharactersWithSpaces>1781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2023-02-28T02:36:00Z</dcterms:created>
  <dc:creator>韩 沈</dc:creator>
  <cp:lastModifiedBy>维尼憨憨</cp:lastModifiedBy>
  <cp:lastPrinted>2021-06-01T03:52:00Z</cp:lastPrinted>
  <dcterms:modified xsi:type="dcterms:W3CDTF">2024-04-09T01:32:37Z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EB4B93A8A7F24076A3AE98ABFD4143A4_12</vt:lpwstr>
  </property>
</Properties>
</file>